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jc w:val="center"/>
      </w:pPr>
      <w:r>
        <w:rPr>
          <w:rFonts w:ascii="Aptos" w:hAnsi="Aptos"/>
          <w:b w:val="0"/>
          <w:color w:val="1F6B4F"/>
          <w:sz w:val="68"/>
        </w:rPr>
        <w:t>☘</w:t>
      </w:r>
    </w:p>
    <w:p>
      <w:pPr>
        <w:spacing w:before="160"/>
        <w:jc w:val="center"/>
      </w:pPr>
      <w:r>
        <w:rPr>
          <w:rFonts w:ascii="Aptos Display" w:hAnsi="Aptos Display"/>
          <w:b/>
          <w:color w:val="15372B"/>
          <w:sz w:val="36"/>
        </w:rPr>
        <w:t>IRISH PUB WORLD</w:t>
      </w:r>
    </w:p>
    <w:p>
      <w:pPr>
        <w:jc w:val="center"/>
      </w:pPr>
      <w:r>
        <w:rPr>
          <w:rFonts w:ascii="Aptos Display" w:hAnsi="Aptos Display"/>
          <w:b/>
          <w:color w:val="1F6B4F"/>
          <w:sz w:val="56"/>
        </w:rPr>
        <w:t>ENTERPRISE X</w:t>
      </w:r>
    </w:p>
    <w:p>
      <w:pPr>
        <w:spacing w:before="440"/>
        <w:jc w:val="center"/>
      </w:pPr>
      <w:r>
        <w:rPr>
          <w:rFonts w:ascii="Aptos" w:hAnsi="Aptos"/>
          <w:b/>
          <w:color w:val="6C5623"/>
          <w:sz w:val="26"/>
        </w:rPr>
        <w:t>IPW-000001</w:t>
      </w:r>
    </w:p>
    <w:p>
      <w:pPr>
        <w:jc w:val="center"/>
      </w:pPr>
      <w:r>
        <w:rPr>
          <w:rFonts w:ascii="Aptos Display" w:hAnsi="Aptos Display"/>
          <w:b/>
          <w:color w:val="15372B"/>
          <w:sz w:val="48"/>
        </w:rPr>
        <w:t>Irish Pub World Enterprise Constitution</w:t>
      </w:r>
    </w:p>
    <w:p>
      <w:pPr>
        <w:jc w:val="center"/>
      </w:pPr>
      <w:r>
        <w:rPr>
          <w:rFonts w:ascii="Aptos" w:hAnsi="Aptos"/>
          <w:b w:val="0"/>
          <w:color w:val="5C6660"/>
          <w:sz w:val="26"/>
        </w:rPr>
        <w:t>Project Zero Foundation Publication</w:t>
      </w:r>
    </w:p>
    <w:p>
      <w:pPr>
        <w:spacing w:before="560"/>
        <w:jc w:val="center"/>
      </w:pPr>
      <w:r>
        <w:rPr>
          <w:rFonts w:ascii="Aptos" w:hAnsi="Aptos"/>
          <w:b/>
          <w:color w:val="1F6B4F"/>
          <w:sz w:val="24"/>
        </w:rPr>
        <w:t>ONE PLATFORM. EVERY IRISH PUB.</w:t>
      </w:r>
    </w:p>
    <w:tbl>
      <w:tblPr>
        <w:tblW w:type="auto" w:w="0"/>
        <w:jc w:val="center"/>
        <w:tblLayout w:type="fixed"/>
        <w:tblLook w:firstColumn="1" w:firstRow="1" w:lastColumn="0" w:lastRow="0" w:noHBand="0" w:noVBand="1" w:val="04A0"/>
      </w:tblPr>
      <w:tblGrid>
        <w:gridCol w:w="4896"/>
        <w:gridCol w:w="4896"/>
      </w:tblGrid>
      <w:tr>
        <w:tc>
          <w:tcPr>
            <w:tcW w:type="dxa" w:w="2880"/>
            <w:shd w:fill="EAF5EF"/>
            <w:tcMar>
              <w:top w:w="100" w:type="dxa"/>
              <w:start w:w="120" w:type="dxa"/>
              <w:bottom w:w="100" w:type="dxa"/>
              <w:end w:w="120" w:type="dxa"/>
            </w:tcMar>
          </w:tcPr>
          <w:p>
            <w:r>
              <w:rPr>
                <w:rFonts w:ascii="Aptos" w:hAnsi="Aptos"/>
                <w:b/>
                <w:color w:val="1F6B4F"/>
                <w:sz w:val="18"/>
              </w:rPr>
              <w:t>Document Owner</w:t>
            </w:r>
          </w:p>
        </w:tc>
        <w:tc>
          <w:tcPr>
            <w:tcW w:type="dxa" w:w="5328"/>
            <w:tcMar>
              <w:top w:w="100" w:type="dxa"/>
              <w:start w:w="120" w:type="dxa"/>
              <w:bottom w:w="100" w:type="dxa"/>
              <w:end w:w="120" w:type="dxa"/>
            </w:tcMar>
          </w:tcPr>
          <w:p>
            <w:r>
              <w:rPr>
                <w:rFonts w:ascii="Aptos" w:hAnsi="Aptos"/>
                <w:sz w:val="18"/>
              </w:rPr>
              <w:t>Irish Pub World Enterprise</w:t>
            </w:r>
          </w:p>
        </w:tc>
      </w:tr>
      <w:tr>
        <w:tc>
          <w:tcPr>
            <w:tcW w:type="dxa" w:w="2880"/>
            <w:shd w:fill="EAF5EF"/>
            <w:tcMar>
              <w:top w:w="100" w:type="dxa"/>
              <w:start w:w="120" w:type="dxa"/>
              <w:bottom w:w="100" w:type="dxa"/>
              <w:end w:w="120" w:type="dxa"/>
            </w:tcMar>
          </w:tcPr>
          <w:p>
            <w:r>
              <w:rPr>
                <w:rFonts w:ascii="Aptos" w:hAnsi="Aptos"/>
                <w:b/>
                <w:color w:val="1F6B4F"/>
                <w:sz w:val="18"/>
              </w:rPr>
              <w:t>Document Status</w:t>
            </w:r>
          </w:p>
        </w:tc>
        <w:tc>
          <w:tcPr>
            <w:tcW w:type="dxa" w:w="5328"/>
            <w:tcMar>
              <w:top w:w="100" w:type="dxa"/>
              <w:start w:w="120" w:type="dxa"/>
              <w:bottom w:w="100" w:type="dxa"/>
              <w:end w:w="120" w:type="dxa"/>
            </w:tcMar>
          </w:tcPr>
          <w:p>
            <w:r>
              <w:rPr>
                <w:rFonts w:ascii="Aptos" w:hAnsi="Aptos"/>
                <w:sz w:val="18"/>
              </w:rPr>
              <w:t>Foundation Standard — Approved for Programme Use</w:t>
            </w:r>
          </w:p>
        </w:tc>
      </w:tr>
      <w:tr>
        <w:tc>
          <w:tcPr>
            <w:tcW w:type="dxa" w:w="2880"/>
            <w:shd w:fill="EAF5EF"/>
            <w:tcMar>
              <w:top w:w="100" w:type="dxa"/>
              <w:start w:w="120" w:type="dxa"/>
              <w:bottom w:w="100" w:type="dxa"/>
              <w:end w:w="120" w:type="dxa"/>
            </w:tcMar>
          </w:tcPr>
          <w:p>
            <w:r>
              <w:rPr>
                <w:rFonts w:ascii="Aptos" w:hAnsi="Aptos"/>
                <w:b/>
                <w:color w:val="1F6B4F"/>
                <w:sz w:val="18"/>
              </w:rPr>
              <w:t>Version</w:t>
            </w:r>
          </w:p>
        </w:tc>
        <w:tc>
          <w:tcPr>
            <w:tcW w:type="dxa" w:w="5328"/>
            <w:tcMar>
              <w:top w:w="100" w:type="dxa"/>
              <w:start w:w="120" w:type="dxa"/>
              <w:bottom w:w="100" w:type="dxa"/>
              <w:end w:w="120" w:type="dxa"/>
            </w:tcMar>
          </w:tcPr>
          <w:p>
            <w:r>
              <w:rPr>
                <w:rFonts w:ascii="Aptos" w:hAnsi="Aptos"/>
                <w:sz w:val="18"/>
              </w:rPr>
              <w:t>1.0</w:t>
            </w:r>
          </w:p>
        </w:tc>
      </w:tr>
      <w:tr>
        <w:tc>
          <w:tcPr>
            <w:tcW w:type="dxa" w:w="2880"/>
            <w:shd w:fill="EAF5EF"/>
            <w:tcMar>
              <w:top w:w="100" w:type="dxa"/>
              <w:start w:w="120" w:type="dxa"/>
              <w:bottom w:w="100" w:type="dxa"/>
              <w:end w:w="120" w:type="dxa"/>
            </w:tcMar>
          </w:tcPr>
          <w:p>
            <w:r>
              <w:rPr>
                <w:rFonts w:ascii="Aptos" w:hAnsi="Aptos"/>
                <w:b/>
                <w:color w:val="1F6B4F"/>
                <w:sz w:val="18"/>
              </w:rPr>
              <w:t>Review Cycle</w:t>
            </w:r>
          </w:p>
        </w:tc>
        <w:tc>
          <w:tcPr>
            <w:tcW w:type="dxa" w:w="5328"/>
            <w:tcMar>
              <w:top w:w="100" w:type="dxa"/>
              <w:start w:w="120" w:type="dxa"/>
              <w:bottom w:w="100" w:type="dxa"/>
              <w:end w:w="120" w:type="dxa"/>
            </w:tcMar>
          </w:tcPr>
          <w:p>
            <w:r>
              <w:rPr>
                <w:rFonts w:ascii="Aptos" w:hAnsi="Aptos"/>
                <w:sz w:val="18"/>
              </w:rPr>
              <w:t>Annual or upon material strategic change</w:t>
            </w:r>
          </w:p>
        </w:tc>
      </w:tr>
    </w:tbl>
    <w:p>
      <w:r>
        <w:br w:type="page"/>
      </w:r>
    </w:p>
    <w:p>
      <w:pPr>
        <w:pStyle w:val="Heading1"/>
      </w:pPr>
      <w:r>
        <w:t>Document Control</w:t>
      </w:r>
    </w:p>
    <w:tbl>
      <w:tblPr>
        <w:tblStyle w:val="TableGrid"/>
        <w:tblW w:type="auto" w:w="0"/>
        <w:jc w:val="center"/>
        <w:tblLook w:firstColumn="1" w:firstRow="1" w:lastColumn="0" w:lastRow="0" w:noHBand="0" w:noVBand="1" w:val="04A0"/>
      </w:tblPr>
      <w:tblGrid>
        <w:gridCol w:w="4896"/>
        <w:gridCol w:w="4896"/>
      </w:tblGrid>
      <w:tr>
        <w:tc>
          <w:tcPr>
            <w:tcW w:type="dxa" w:w="2880"/>
            <w:shd w:fill="1F6B4F"/>
            <w:tcMar>
              <w:top w:w="120" w:type="dxa"/>
              <w:start w:w="120" w:type="dxa"/>
              <w:bottom w:w="120" w:type="dxa"/>
              <w:end w:w="120" w:type="dxa"/>
            </w:tcMar>
            <w:vAlign w:val="center"/>
          </w:tcPr>
          <w:p>
            <w:pPr>
              <w:jc w:val="center"/>
            </w:pPr>
            <w:r>
              <w:rPr>
                <w:rFonts w:ascii="Aptos" w:hAnsi="Aptos"/>
                <w:b/>
                <w:color w:val="FFFFFF"/>
                <w:sz w:val="19"/>
              </w:rPr>
              <w:t>Field</w:t>
            </w:r>
          </w:p>
        </w:tc>
        <w:tc>
          <w:tcPr>
            <w:tcW w:type="dxa" w:w="6192"/>
            <w:shd w:fill="1F6B4F"/>
            <w:tcMar>
              <w:top w:w="120" w:type="dxa"/>
              <w:start w:w="120" w:type="dxa"/>
              <w:bottom w:w="120" w:type="dxa"/>
              <w:end w:w="120" w:type="dxa"/>
            </w:tcMar>
            <w:vAlign w:val="center"/>
          </w:tcPr>
          <w:p>
            <w:pPr>
              <w:jc w:val="center"/>
            </w:pPr>
            <w:r>
              <w:rPr>
                <w:rFonts w:ascii="Aptos" w:hAnsi="Aptos"/>
                <w:b/>
                <w:color w:val="FFFFFF"/>
                <w:sz w:val="19"/>
              </w:rPr>
              <w:t>Control</w:t>
            </w:r>
          </w:p>
        </w:tc>
      </w:tr>
      <w:tr>
        <w:tc>
          <w:tcPr>
            <w:tcW w:type="dxa" w:w="2880"/>
            <w:tcMar>
              <w:top w:w="110" w:type="dxa"/>
              <w:start w:w="120" w:type="dxa"/>
              <w:bottom w:w="110" w:type="dxa"/>
              <w:end w:w="120" w:type="dxa"/>
            </w:tcMar>
          </w:tcPr>
          <w:p>
            <w:pPr>
              <w:jc w:val="left"/>
            </w:pPr>
            <w:r>
              <w:rPr>
                <w:rFonts w:ascii="Aptos" w:hAnsi="Aptos"/>
                <w:sz w:val="19"/>
              </w:rPr>
              <w:t>Document ID</w:t>
            </w:r>
          </w:p>
        </w:tc>
        <w:tc>
          <w:tcPr>
            <w:tcW w:type="dxa" w:w="6192"/>
            <w:tcMar>
              <w:top w:w="110" w:type="dxa"/>
              <w:start w:w="120" w:type="dxa"/>
              <w:bottom w:w="110" w:type="dxa"/>
              <w:end w:w="120" w:type="dxa"/>
            </w:tcMar>
          </w:tcPr>
          <w:p>
            <w:pPr>
              <w:jc w:val="left"/>
            </w:pPr>
            <w:r>
              <w:rPr>
                <w:rFonts w:ascii="Aptos" w:hAnsi="Aptos"/>
                <w:sz w:val="19"/>
              </w:rPr>
              <w:t>IPW-000001</w:t>
            </w:r>
          </w:p>
        </w:tc>
      </w:tr>
      <w:tr>
        <w:tc>
          <w:tcPr>
            <w:tcW w:type="dxa" w:w="2880"/>
            <w:tcMar>
              <w:top w:w="110" w:type="dxa"/>
              <w:start w:w="120" w:type="dxa"/>
              <w:bottom w:w="110" w:type="dxa"/>
              <w:end w:w="120" w:type="dxa"/>
            </w:tcMar>
            <w:shd w:fill="F4F7F5"/>
          </w:tcPr>
          <w:p>
            <w:pPr>
              <w:jc w:val="left"/>
            </w:pPr>
            <w:r>
              <w:rPr>
                <w:rFonts w:ascii="Aptos" w:hAnsi="Aptos"/>
                <w:sz w:val="19"/>
              </w:rPr>
              <w:t>Title</w:t>
            </w:r>
          </w:p>
        </w:tc>
        <w:tc>
          <w:tcPr>
            <w:tcW w:type="dxa" w:w="6192"/>
            <w:tcMar>
              <w:top w:w="110" w:type="dxa"/>
              <w:start w:w="120" w:type="dxa"/>
              <w:bottom w:w="110" w:type="dxa"/>
              <w:end w:w="120" w:type="dxa"/>
            </w:tcMar>
            <w:shd w:fill="F4F7F5"/>
          </w:tcPr>
          <w:p>
            <w:pPr>
              <w:jc w:val="left"/>
            </w:pPr>
            <w:r>
              <w:rPr>
                <w:rFonts w:ascii="Aptos" w:hAnsi="Aptos"/>
                <w:sz w:val="19"/>
              </w:rPr>
              <w:t>Irish Pub World Enterprise Constitution</w:t>
            </w:r>
          </w:p>
        </w:tc>
      </w:tr>
      <w:tr>
        <w:tc>
          <w:tcPr>
            <w:tcW w:type="dxa" w:w="2880"/>
            <w:tcMar>
              <w:top w:w="110" w:type="dxa"/>
              <w:start w:w="120" w:type="dxa"/>
              <w:bottom w:w="110" w:type="dxa"/>
              <w:end w:w="120" w:type="dxa"/>
            </w:tcMar>
          </w:tcPr>
          <w:p>
            <w:pPr>
              <w:jc w:val="left"/>
            </w:pPr>
            <w:r>
              <w:rPr>
                <w:rFonts w:ascii="Aptos" w:hAnsi="Aptos"/>
                <w:sz w:val="19"/>
              </w:rPr>
              <w:t>Programme</w:t>
            </w:r>
          </w:p>
        </w:tc>
        <w:tc>
          <w:tcPr>
            <w:tcW w:type="dxa" w:w="6192"/>
            <w:tcMar>
              <w:top w:w="110" w:type="dxa"/>
              <w:start w:w="120" w:type="dxa"/>
              <w:bottom w:w="110" w:type="dxa"/>
              <w:end w:w="120" w:type="dxa"/>
            </w:tcMar>
          </w:tcPr>
          <w:p>
            <w:pPr>
              <w:jc w:val="left"/>
            </w:pPr>
            <w:r>
              <w:rPr>
                <w:rFonts w:ascii="Aptos" w:hAnsi="Aptos"/>
                <w:sz w:val="19"/>
              </w:rPr>
              <w:t>Project Zero</w:t>
            </w:r>
          </w:p>
        </w:tc>
      </w:tr>
      <w:tr>
        <w:tc>
          <w:tcPr>
            <w:tcW w:type="dxa" w:w="2880"/>
            <w:tcMar>
              <w:top w:w="110" w:type="dxa"/>
              <w:start w:w="120" w:type="dxa"/>
              <w:bottom w:w="110" w:type="dxa"/>
              <w:end w:w="120" w:type="dxa"/>
            </w:tcMar>
            <w:shd w:fill="F4F7F5"/>
          </w:tcPr>
          <w:p>
            <w:pPr>
              <w:jc w:val="left"/>
            </w:pPr>
            <w:r>
              <w:rPr>
                <w:rFonts w:ascii="Aptos" w:hAnsi="Aptos"/>
                <w:sz w:val="19"/>
              </w:rPr>
              <w:t>Classification</w:t>
            </w:r>
          </w:p>
        </w:tc>
        <w:tc>
          <w:tcPr>
            <w:tcW w:type="dxa" w:w="6192"/>
            <w:tcMar>
              <w:top w:w="110" w:type="dxa"/>
              <w:start w:w="120" w:type="dxa"/>
              <w:bottom w:w="110" w:type="dxa"/>
              <w:end w:w="120" w:type="dxa"/>
            </w:tcMar>
            <w:shd w:fill="F4F7F5"/>
          </w:tcPr>
          <w:p>
            <w:pPr>
              <w:jc w:val="left"/>
            </w:pPr>
            <w:r>
              <w:rPr>
                <w:rFonts w:ascii="Aptos" w:hAnsi="Aptos"/>
                <w:sz w:val="19"/>
              </w:rPr>
              <w:t>Internal Foundation Standard</w:t>
            </w:r>
          </w:p>
        </w:tc>
      </w:tr>
      <w:tr>
        <w:tc>
          <w:tcPr>
            <w:tcW w:type="dxa" w:w="2880"/>
            <w:tcMar>
              <w:top w:w="110" w:type="dxa"/>
              <w:start w:w="120" w:type="dxa"/>
              <w:bottom w:w="110" w:type="dxa"/>
              <w:end w:w="120" w:type="dxa"/>
            </w:tcMar>
          </w:tcPr>
          <w:p>
            <w:pPr>
              <w:jc w:val="left"/>
            </w:pPr>
            <w:r>
              <w:rPr>
                <w:rFonts w:ascii="Aptos" w:hAnsi="Aptos"/>
                <w:sz w:val="19"/>
              </w:rPr>
              <w:t>Owner</w:t>
            </w:r>
          </w:p>
        </w:tc>
        <w:tc>
          <w:tcPr>
            <w:tcW w:type="dxa" w:w="6192"/>
            <w:tcMar>
              <w:top w:w="110" w:type="dxa"/>
              <w:start w:w="120" w:type="dxa"/>
              <w:bottom w:w="110" w:type="dxa"/>
              <w:end w:w="120" w:type="dxa"/>
            </w:tcMar>
          </w:tcPr>
          <w:p>
            <w:pPr>
              <w:jc w:val="left"/>
            </w:pPr>
            <w:r>
              <w:rPr>
                <w:rFonts w:ascii="Aptos" w:hAnsi="Aptos"/>
                <w:sz w:val="19"/>
              </w:rPr>
              <w:t>Chief Executive / Product Council</w:t>
            </w:r>
          </w:p>
        </w:tc>
      </w:tr>
      <w:tr>
        <w:tc>
          <w:tcPr>
            <w:tcW w:type="dxa" w:w="2880"/>
            <w:tcMar>
              <w:top w:w="110" w:type="dxa"/>
              <w:start w:w="120" w:type="dxa"/>
              <w:bottom w:w="110" w:type="dxa"/>
              <w:end w:w="120" w:type="dxa"/>
            </w:tcMar>
            <w:shd w:fill="F4F7F5"/>
          </w:tcPr>
          <w:p>
            <w:pPr>
              <w:jc w:val="left"/>
            </w:pPr>
            <w:r>
              <w:rPr>
                <w:rFonts w:ascii="Aptos" w:hAnsi="Aptos"/>
                <w:sz w:val="19"/>
              </w:rPr>
              <w:t>Primary Audience</w:t>
            </w:r>
          </w:p>
        </w:tc>
        <w:tc>
          <w:tcPr>
            <w:tcW w:type="dxa" w:w="6192"/>
            <w:tcMar>
              <w:top w:w="110" w:type="dxa"/>
              <w:start w:w="120" w:type="dxa"/>
              <w:bottom w:w="110" w:type="dxa"/>
              <w:end w:w="120" w:type="dxa"/>
            </w:tcMar>
            <w:shd w:fill="F4F7F5"/>
          </w:tcPr>
          <w:p>
            <w:pPr>
              <w:jc w:val="left"/>
            </w:pPr>
            <w:r>
              <w:rPr>
                <w:rFonts w:ascii="Aptos" w:hAnsi="Aptos"/>
                <w:sz w:val="19"/>
              </w:rPr>
              <w:t>Employees, developers, designers, content authors, AI engineers, partners and investors</w:t>
            </w:r>
          </w:p>
        </w:tc>
      </w:tr>
      <w:tr>
        <w:tc>
          <w:tcPr>
            <w:tcW w:type="dxa" w:w="2880"/>
            <w:tcMar>
              <w:top w:w="110" w:type="dxa"/>
              <w:start w:w="120" w:type="dxa"/>
              <w:bottom w:w="110" w:type="dxa"/>
              <w:end w:w="120" w:type="dxa"/>
            </w:tcMar>
          </w:tcPr>
          <w:p>
            <w:pPr>
              <w:jc w:val="left"/>
            </w:pPr>
            <w:r>
              <w:rPr>
                <w:rFonts w:ascii="Aptos" w:hAnsi="Aptos"/>
                <w:sz w:val="19"/>
              </w:rPr>
              <w:t>Supersedes</w:t>
            </w:r>
          </w:p>
        </w:tc>
        <w:tc>
          <w:tcPr>
            <w:tcW w:type="dxa" w:w="6192"/>
            <w:tcMar>
              <w:top w:w="110" w:type="dxa"/>
              <w:start w:w="120" w:type="dxa"/>
              <w:bottom w:w="110" w:type="dxa"/>
              <w:end w:w="120" w:type="dxa"/>
            </w:tcMar>
          </w:tcPr>
          <w:p>
            <w:pPr>
              <w:jc w:val="left"/>
            </w:pPr>
            <w:r>
              <w:rPr>
                <w:rFonts w:ascii="Aptos" w:hAnsi="Aptos"/>
                <w:sz w:val="19"/>
              </w:rPr>
              <w:t>New publication</w:t>
            </w:r>
          </w:p>
        </w:tc>
      </w:tr>
      <w:tr>
        <w:tc>
          <w:tcPr>
            <w:tcW w:type="dxa" w:w="2880"/>
            <w:tcMar>
              <w:top w:w="110" w:type="dxa"/>
              <w:start w:w="120" w:type="dxa"/>
              <w:bottom w:w="110" w:type="dxa"/>
              <w:end w:w="120" w:type="dxa"/>
            </w:tcMar>
            <w:shd w:fill="F4F7F5"/>
          </w:tcPr>
          <w:p>
            <w:pPr>
              <w:jc w:val="left"/>
            </w:pPr>
            <w:r>
              <w:rPr>
                <w:rFonts w:ascii="Aptos" w:hAnsi="Aptos"/>
                <w:sz w:val="19"/>
              </w:rPr>
              <w:t>Approval Authority</w:t>
            </w:r>
          </w:p>
        </w:tc>
        <w:tc>
          <w:tcPr>
            <w:tcW w:type="dxa" w:w="6192"/>
            <w:tcMar>
              <w:top w:w="110" w:type="dxa"/>
              <w:start w:w="120" w:type="dxa"/>
              <w:bottom w:w="110" w:type="dxa"/>
              <w:end w:w="120" w:type="dxa"/>
            </w:tcMar>
            <w:shd w:fill="F4F7F5"/>
          </w:tcPr>
          <w:p>
            <w:pPr>
              <w:jc w:val="left"/>
            </w:pPr>
            <w:r>
              <w:rPr>
                <w:rFonts w:ascii="Aptos" w:hAnsi="Aptos"/>
                <w:sz w:val="19"/>
              </w:rPr>
              <w:t>Irish Pub World Executive Leadership</w:t>
            </w:r>
          </w:p>
        </w:tc>
      </w:tr>
      <w:tr>
        <w:tc>
          <w:tcPr>
            <w:tcW w:type="dxa" w:w="2880"/>
            <w:tcMar>
              <w:top w:w="110" w:type="dxa"/>
              <w:start w:w="120" w:type="dxa"/>
              <w:bottom w:w="110" w:type="dxa"/>
              <w:end w:w="120" w:type="dxa"/>
            </w:tcMar>
          </w:tcPr>
          <w:p>
            <w:pPr>
              <w:jc w:val="left"/>
            </w:pPr>
            <w:r>
              <w:rPr>
                <w:rFonts w:ascii="Aptos" w:hAnsi="Aptos"/>
                <w:sz w:val="19"/>
              </w:rPr>
              <w:t>Next Review</w:t>
            </w:r>
          </w:p>
        </w:tc>
        <w:tc>
          <w:tcPr>
            <w:tcW w:type="dxa" w:w="6192"/>
            <w:tcMar>
              <w:top w:w="110" w:type="dxa"/>
              <w:start w:w="120" w:type="dxa"/>
              <w:bottom w:w="110" w:type="dxa"/>
              <w:end w:w="120" w:type="dxa"/>
            </w:tcMar>
          </w:tcPr>
          <w:p>
            <w:pPr>
              <w:jc w:val="left"/>
            </w:pPr>
            <w:r>
              <w:rPr>
                <w:rFonts w:ascii="Aptos" w:hAnsi="Aptos"/>
                <w:sz w:val="19"/>
              </w:rPr>
              <w:t>12 months from formal adoption</w:t>
            </w:r>
          </w:p>
        </w:tc>
      </w:tr>
    </w:tbl>
    <w:p>
      <w:pPr>
        <w:spacing w:after="40"/>
      </w:pPr>
    </w:p>
    <w:tbl>
      <w:tblPr>
        <w:tblW w:type="auto" w:w="0"/>
        <w:jc w:val="center"/>
        <w:tblLayout w:type="fixed"/>
        <w:tblLook w:firstColumn="1" w:firstRow="1" w:lastColumn="0" w:lastRow="0" w:noHBand="0" w:noVBand="1" w:val="04A0"/>
      </w:tblPr>
      <w:tblGrid>
        <w:gridCol w:w="9792"/>
      </w:tblGrid>
      <w:tr>
        <w:tc>
          <w:tcPr>
            <w:tcW w:type="dxa" w:w="9144"/>
            <w:shd w:fill="EAF5EF"/>
            <w:tcMar>
              <w:top w:w="180" w:type="dxa"/>
              <w:start w:w="220" w:type="dxa"/>
              <w:bottom w:w="180" w:type="dxa"/>
              <w:end w:w="220" w:type="dxa"/>
            </w:tcMar>
            <w:tcBorders>
              <w:top w:val="single" w:sz="8" w:color="1F6B4F"/>
              <w:left w:val="single" w:sz="8" w:color="1F6B4F"/>
              <w:bottom w:val="single" w:sz="8" w:color="1F6B4F"/>
              <w:right w:val="single" w:sz="8" w:color="1F6B4F"/>
            </w:tcBorders>
          </w:tcPr>
          <w:p>
            <w:r>
              <w:rPr>
                <w:rFonts w:ascii="Aptos" w:hAnsi="Aptos"/>
                <w:b/>
                <w:color w:val="1F6B4F"/>
                <w:sz w:val="22"/>
              </w:rPr>
              <w:t>Constitutional Status</w:t>
              <w:br/>
            </w:r>
            <w:r>
              <w:rPr>
                <w:rFonts w:ascii="Aptos" w:hAnsi="Aptos"/>
                <w:b w:val="0"/>
                <w:color w:val="24302A"/>
                <w:sz w:val="21"/>
              </w:rPr>
              <w:t>This publication defines the enduring principles of Irish Pub World Enterprise. Detailed standards may evolve, but no product, content item, AI capability or commercial initiative should conflict with the principles established here.</w:t>
            </w:r>
          </w:p>
        </w:tc>
      </w:tr>
    </w:tbl>
    <w:p>
      <w:pPr>
        <w:spacing w:after="40"/>
      </w:pPr>
    </w:p>
    <w:p>
      <w:pPr>
        <w:pStyle w:val="Heading1"/>
      </w:pPr>
      <w:r>
        <w:t>Contents</w:t>
      </w:r>
    </w:p>
    <w:p>
      <w:pPr>
        <w:jc w:val="left"/>
      </w:pPr>
      <w:r>
        <w:rPr>
          <w:rFonts w:ascii="Aptos" w:hAnsi="Aptos"/>
          <w:b w:val="0"/>
          <w:color w:val="5C6660"/>
          <w:sz w:val="18"/>
        </w:rPr>
        <w:t>Microsoft Word: right-click this field and select “Update Field” to refresh the table of contents.</w:t>
      </w:r>
      <w:r>
        <w:fldChar w:fldCharType="begin"/>
        <w:instrText xml:space="preserve">TOC \o "1-3" \h \z \u</w:instrText>
        <w:fldChar w:fldCharType="end"/>
      </w:r>
    </w:p>
    <w:p>
      <w:r>
        <w:br w:type="page"/>
      </w:r>
    </w:p>
    <w:p>
      <w:pPr>
        <w:pStyle w:val="Heading1"/>
      </w:pPr>
      <w:r>
        <w:t>Executive Declaration</w:t>
      </w:r>
    </w:p>
    <w:p>
      <w:r>
        <w:t>Irish Pub World Enterprise exists to make running an Irish pub simpler, safer, smarter and more profitable. The platform will unite operating systems, professional knowledge, education, artificial intelligence, community and commercial services in one connected environment.</w:t>
      </w:r>
    </w:p>
    <w:p>
      <w:r>
        <w:t>This Constitution is the first publication in the Irish Pub World Enterprise Standards Library. It establishes the principles that govern what we build, how we build it, how knowledge is created and approved, and how artificial intelligence is permitted to support operational decision-making.</w:t>
      </w:r>
    </w:p>
    <w:p>
      <w:r>
        <w:t>Every future product specification, content standard, data object, workflow, user interface and partnership should be traceable to this Constitution. Where speed and principle conflict, principle takes priority. Where complexity and usability conflict, usability takes priority. Where automation and human accountability conflict, human accountability takes priority.</w:t>
      </w:r>
    </w:p>
    <w:tbl>
      <w:tblPr>
        <w:tblW w:type="auto" w:w="0"/>
        <w:jc w:val="center"/>
        <w:tblLayout w:type="fixed"/>
        <w:tblLook w:firstColumn="1" w:firstRow="1" w:lastColumn="0" w:lastRow="0" w:noHBand="0" w:noVBand="1" w:val="04A0"/>
      </w:tblPr>
      <w:tblGrid>
        <w:gridCol w:w="9792"/>
      </w:tblGrid>
      <w:tr>
        <w:tc>
          <w:tcPr>
            <w:tcW w:type="dxa" w:w="9144"/>
            <w:shd w:fill="FFF4D8"/>
            <w:tcMar>
              <w:top w:w="180" w:type="dxa"/>
              <w:start w:w="220" w:type="dxa"/>
              <w:bottom w:w="180" w:type="dxa"/>
              <w:end w:w="220" w:type="dxa"/>
            </w:tcMar>
            <w:tcBorders>
              <w:top w:val="single" w:sz="8" w:color="B8942E"/>
              <w:left w:val="single" w:sz="8" w:color="B8942E"/>
              <w:bottom w:val="single" w:sz="8" w:color="B8942E"/>
              <w:right w:val="single" w:sz="8" w:color="B8942E"/>
            </w:tcBorders>
          </w:tcPr>
          <w:p>
            <w:r>
              <w:rPr>
                <w:rFonts w:ascii="Aptos" w:hAnsi="Aptos"/>
                <w:b/>
                <w:color w:val="1F6B4F"/>
                <w:sz w:val="22"/>
              </w:rPr>
              <w:t>The Irish Pub World Promise</w:t>
              <w:br/>
            </w:r>
            <w:r>
              <w:rPr>
                <w:rFonts w:ascii="Aptos" w:hAnsi="Aptos"/>
                <w:b w:val="0"/>
                <w:color w:val="24302A"/>
                <w:sz w:val="21"/>
              </w:rPr>
              <w:t>Every feature we build, every document we write, every course we create and every line of code we develop must make running an Irish pub simpler, safer, smarter or more profitable. If it does not achieve one of those outcomes, we rethink it.</w:t>
            </w:r>
          </w:p>
        </w:tc>
      </w:tr>
    </w:tbl>
    <w:p>
      <w:pPr>
        <w:spacing w:after="40"/>
      </w:pPr>
    </w:p>
    <w:p>
      <w:pPr>
        <w:pStyle w:val="Heading1"/>
      </w:pPr>
      <w:r>
        <w:t>1. Vision, Mission and Purpose</w:t>
      </w:r>
    </w:p>
    <w:p>
      <w:pPr>
        <w:pStyle w:val="Heading2"/>
      </w:pPr>
      <w:r>
        <w:t>1.1 Vision</w:t>
      </w:r>
    </w:p>
    <w:p>
      <w:r>
        <w:t>To become the world’s leading operating system and knowledge platform for Irish pubs and the wider hospitality sector.</w:t>
      </w:r>
    </w:p>
    <w:p>
      <w:pPr>
        <w:pStyle w:val="Heading2"/>
      </w:pPr>
      <w:r>
        <w:t>1.2 Mission</w:t>
      </w:r>
    </w:p>
    <w:p>
      <w:r>
        <w:t>To help every Irish pub operate more safely, professionally and profitably through world-class technology, structured knowledge, education, community and responsible artificial intelligence.</w:t>
      </w:r>
    </w:p>
    <w:p>
      <w:pPr>
        <w:pStyle w:val="Heading2"/>
      </w:pPr>
      <w:r>
        <w:t>1.3 Purpose</w:t>
      </w:r>
    </w:p>
    <w:p>
      <w:r>
        <w:t>Irish Pub World preserves the character and heritage of Irish hospitality while giving owners and teams modern tools to operate successfully. The platform exists to turn fragmented knowledge and disconnected software into one coherent operating environment.</w:t>
      </w:r>
    </w:p>
    <w:p>
      <w:pPr>
        <w:pStyle w:val="Heading2"/>
      </w:pPr>
      <w:r>
        <w:t>1.4 Long-Term Ambition</w:t>
      </w:r>
    </w:p>
    <w:p>
      <w:r>
        <w:t>Irish Pub World will begin with the global Irish pub industry, establish category leadership, and then extend selected capabilities into restaurants, bars, cafés, hotels and hospitality groups without losing its specialist identity.</w:t>
      </w:r>
    </w:p>
    <w:p>
      <w:pPr>
        <w:pStyle w:val="Heading1"/>
      </w:pPr>
      <w:r>
        <w:t>2. Core Constitutional Principles</w:t>
      </w:r>
    </w:p>
    <w:tbl>
      <w:tblPr>
        <w:tblStyle w:val="TableGrid"/>
        <w:tblW w:type="auto" w:w="0"/>
        <w:jc w:val="center"/>
        <w:tblLook w:firstColumn="1" w:firstRow="1" w:lastColumn="0" w:lastRow="0" w:noHBand="0" w:noVBand="1" w:val="04A0"/>
      </w:tblPr>
      <w:tblGrid>
        <w:gridCol w:w="3264"/>
        <w:gridCol w:w="3264"/>
        <w:gridCol w:w="3264"/>
      </w:tblGrid>
      <w:tr>
        <w:tc>
          <w:tcPr>
            <w:tcW w:type="dxa" w:w="792"/>
            <w:shd w:fill="1F6B4F"/>
            <w:tcMar>
              <w:top w:w="120" w:type="dxa"/>
              <w:start w:w="120" w:type="dxa"/>
              <w:bottom w:w="120" w:type="dxa"/>
              <w:end w:w="120" w:type="dxa"/>
            </w:tcMar>
            <w:vAlign w:val="center"/>
          </w:tcPr>
          <w:p>
            <w:pPr>
              <w:jc w:val="center"/>
            </w:pPr>
            <w:r>
              <w:rPr>
                <w:rFonts w:ascii="Aptos" w:hAnsi="Aptos"/>
                <w:b/>
                <w:color w:val="FFFFFF"/>
                <w:sz w:val="19"/>
              </w:rPr>
              <w:t>No.</w:t>
            </w:r>
          </w:p>
        </w:tc>
        <w:tc>
          <w:tcPr>
            <w:tcW w:type="dxa" w:w="2448"/>
            <w:shd w:fill="1F6B4F"/>
            <w:tcMar>
              <w:top w:w="120" w:type="dxa"/>
              <w:start w:w="120" w:type="dxa"/>
              <w:bottom w:w="120" w:type="dxa"/>
              <w:end w:w="120" w:type="dxa"/>
            </w:tcMar>
            <w:vAlign w:val="center"/>
          </w:tcPr>
          <w:p>
            <w:pPr>
              <w:jc w:val="center"/>
            </w:pPr>
            <w:r>
              <w:rPr>
                <w:rFonts w:ascii="Aptos" w:hAnsi="Aptos"/>
                <w:b/>
                <w:color w:val="FFFFFF"/>
                <w:sz w:val="19"/>
              </w:rPr>
              <w:t>Principle</w:t>
            </w:r>
          </w:p>
        </w:tc>
        <w:tc>
          <w:tcPr>
            <w:tcW w:type="dxa" w:w="5832"/>
            <w:shd w:fill="1F6B4F"/>
            <w:tcMar>
              <w:top w:w="120" w:type="dxa"/>
              <w:start w:w="120" w:type="dxa"/>
              <w:bottom w:w="120" w:type="dxa"/>
              <w:end w:w="120" w:type="dxa"/>
            </w:tcMar>
            <w:vAlign w:val="center"/>
          </w:tcPr>
          <w:p>
            <w:pPr>
              <w:jc w:val="center"/>
            </w:pPr>
            <w:r>
              <w:rPr>
                <w:rFonts w:ascii="Aptos" w:hAnsi="Aptos"/>
                <w:b/>
                <w:color w:val="FFFFFF"/>
                <w:sz w:val="19"/>
              </w:rPr>
              <w:t>Meaning</w:t>
            </w:r>
          </w:p>
        </w:tc>
      </w:tr>
      <w:tr>
        <w:tc>
          <w:tcPr>
            <w:tcW w:type="dxa" w:w="792"/>
            <w:tcMar>
              <w:top w:w="110" w:type="dxa"/>
              <w:start w:w="120" w:type="dxa"/>
              <w:bottom w:w="110" w:type="dxa"/>
              <w:end w:w="120" w:type="dxa"/>
            </w:tcMar>
          </w:tcPr>
          <w:p>
            <w:pPr>
              <w:jc w:val="center"/>
            </w:pPr>
            <w:r>
              <w:rPr>
                <w:rFonts w:ascii="Aptos" w:hAnsi="Aptos"/>
                <w:sz w:val="19"/>
              </w:rPr>
              <w:t>01</w:t>
            </w:r>
          </w:p>
        </w:tc>
        <w:tc>
          <w:tcPr>
            <w:tcW w:type="dxa" w:w="2448"/>
            <w:tcMar>
              <w:top w:w="110" w:type="dxa"/>
              <w:start w:w="120" w:type="dxa"/>
              <w:bottom w:w="110" w:type="dxa"/>
              <w:end w:w="120" w:type="dxa"/>
            </w:tcMar>
          </w:tcPr>
          <w:p>
            <w:pPr>
              <w:jc w:val="left"/>
            </w:pPr>
            <w:r>
              <w:rPr>
                <w:rFonts w:ascii="Aptos" w:hAnsi="Aptos"/>
                <w:sz w:val="19"/>
              </w:rPr>
              <w:t>Simplicity over complexity</w:t>
            </w:r>
          </w:p>
        </w:tc>
        <w:tc>
          <w:tcPr>
            <w:tcW w:type="dxa" w:w="5832"/>
            <w:tcMar>
              <w:top w:w="110" w:type="dxa"/>
              <w:start w:w="120" w:type="dxa"/>
              <w:bottom w:w="110" w:type="dxa"/>
              <w:end w:w="120" w:type="dxa"/>
            </w:tcMar>
          </w:tcPr>
          <w:p>
            <w:pPr>
              <w:jc w:val="left"/>
            </w:pPr>
            <w:r>
              <w:rPr>
                <w:rFonts w:ascii="Aptos" w:hAnsi="Aptos"/>
                <w:sz w:val="19"/>
              </w:rPr>
              <w:t>Powerful software must feel simple. If a process requires excessive explanation, it should be redesigned.</w:t>
            </w:r>
          </w:p>
        </w:tc>
      </w:tr>
      <w:tr>
        <w:tc>
          <w:tcPr>
            <w:tcW w:type="dxa" w:w="792"/>
            <w:tcMar>
              <w:top w:w="110" w:type="dxa"/>
              <w:start w:w="120" w:type="dxa"/>
              <w:bottom w:w="110" w:type="dxa"/>
              <w:end w:w="120" w:type="dxa"/>
            </w:tcMar>
            <w:shd w:fill="F4F7F5"/>
          </w:tcPr>
          <w:p>
            <w:pPr>
              <w:jc w:val="center"/>
            </w:pPr>
            <w:r>
              <w:rPr>
                <w:rFonts w:ascii="Aptos" w:hAnsi="Aptos"/>
                <w:sz w:val="19"/>
              </w:rPr>
              <w:t>02</w:t>
            </w:r>
          </w:p>
        </w:tc>
        <w:tc>
          <w:tcPr>
            <w:tcW w:type="dxa" w:w="2448"/>
            <w:tcMar>
              <w:top w:w="110" w:type="dxa"/>
              <w:start w:w="120" w:type="dxa"/>
              <w:bottom w:w="110" w:type="dxa"/>
              <w:end w:w="120" w:type="dxa"/>
            </w:tcMar>
            <w:shd w:fill="F4F7F5"/>
          </w:tcPr>
          <w:p>
            <w:pPr>
              <w:jc w:val="left"/>
            </w:pPr>
            <w:r>
              <w:rPr>
                <w:rFonts w:ascii="Aptos" w:hAnsi="Aptos"/>
                <w:sz w:val="19"/>
              </w:rPr>
              <w:t>Knowledge before software</w:t>
            </w:r>
          </w:p>
        </w:tc>
        <w:tc>
          <w:tcPr>
            <w:tcW w:type="dxa" w:w="5832"/>
            <w:tcMar>
              <w:top w:w="110" w:type="dxa"/>
              <w:start w:w="120" w:type="dxa"/>
              <w:bottom w:w="110" w:type="dxa"/>
              <w:end w:w="120" w:type="dxa"/>
            </w:tcMar>
            <w:shd w:fill="F4F7F5"/>
          </w:tcPr>
          <w:p>
            <w:pPr>
              <w:jc w:val="left"/>
            </w:pPr>
            <w:r>
              <w:rPr>
                <w:rFonts w:ascii="Aptos" w:hAnsi="Aptos"/>
                <w:sz w:val="19"/>
              </w:rPr>
              <w:t>The structured knowledge inside Irish Pub World is a strategic asset equal to the technology itself.</w:t>
            </w:r>
          </w:p>
        </w:tc>
      </w:tr>
      <w:tr>
        <w:tc>
          <w:tcPr>
            <w:tcW w:type="dxa" w:w="792"/>
            <w:tcMar>
              <w:top w:w="110" w:type="dxa"/>
              <w:start w:w="120" w:type="dxa"/>
              <w:bottom w:w="110" w:type="dxa"/>
              <w:end w:w="120" w:type="dxa"/>
            </w:tcMar>
          </w:tcPr>
          <w:p>
            <w:pPr>
              <w:jc w:val="center"/>
            </w:pPr>
            <w:r>
              <w:rPr>
                <w:rFonts w:ascii="Aptos" w:hAnsi="Aptos"/>
                <w:sz w:val="19"/>
              </w:rPr>
              <w:t>03</w:t>
            </w:r>
          </w:p>
        </w:tc>
        <w:tc>
          <w:tcPr>
            <w:tcW w:type="dxa" w:w="2448"/>
            <w:tcMar>
              <w:top w:w="110" w:type="dxa"/>
              <w:start w:w="120" w:type="dxa"/>
              <w:bottom w:w="110" w:type="dxa"/>
              <w:end w:w="120" w:type="dxa"/>
            </w:tcMar>
          </w:tcPr>
          <w:p>
            <w:pPr>
              <w:jc w:val="left"/>
            </w:pPr>
            <w:r>
              <w:rPr>
                <w:rFonts w:ascii="Aptos" w:hAnsi="Aptos"/>
                <w:sz w:val="19"/>
              </w:rPr>
              <w:t>One source of truth</w:t>
            </w:r>
          </w:p>
        </w:tc>
        <w:tc>
          <w:tcPr>
            <w:tcW w:type="dxa" w:w="5832"/>
            <w:tcMar>
              <w:top w:w="110" w:type="dxa"/>
              <w:start w:w="120" w:type="dxa"/>
              <w:bottom w:w="110" w:type="dxa"/>
              <w:end w:w="120" w:type="dxa"/>
            </w:tcMar>
          </w:tcPr>
          <w:p>
            <w:pPr>
              <w:jc w:val="left"/>
            </w:pPr>
            <w:r>
              <w:rPr>
                <w:rFonts w:ascii="Aptos" w:hAnsi="Aptos"/>
                <w:sz w:val="19"/>
              </w:rPr>
              <w:t>Content and operational records should be created once, governed centrally and reused everywhere.</w:t>
            </w:r>
          </w:p>
        </w:tc>
      </w:tr>
      <w:tr>
        <w:tc>
          <w:tcPr>
            <w:tcW w:type="dxa" w:w="792"/>
            <w:tcMar>
              <w:top w:w="110" w:type="dxa"/>
              <w:start w:w="120" w:type="dxa"/>
              <w:bottom w:w="110" w:type="dxa"/>
              <w:end w:w="120" w:type="dxa"/>
            </w:tcMar>
            <w:shd w:fill="F4F7F5"/>
          </w:tcPr>
          <w:p>
            <w:pPr>
              <w:jc w:val="center"/>
            </w:pPr>
            <w:r>
              <w:rPr>
                <w:rFonts w:ascii="Aptos" w:hAnsi="Aptos"/>
                <w:sz w:val="19"/>
              </w:rPr>
              <w:t>04</w:t>
            </w:r>
          </w:p>
        </w:tc>
        <w:tc>
          <w:tcPr>
            <w:tcW w:type="dxa" w:w="2448"/>
            <w:tcMar>
              <w:top w:w="110" w:type="dxa"/>
              <w:start w:w="120" w:type="dxa"/>
              <w:bottom w:w="110" w:type="dxa"/>
              <w:end w:w="120" w:type="dxa"/>
            </w:tcMar>
            <w:shd w:fill="F4F7F5"/>
          </w:tcPr>
          <w:p>
            <w:pPr>
              <w:jc w:val="left"/>
            </w:pPr>
            <w:r>
              <w:rPr>
                <w:rFonts w:ascii="Aptos" w:hAnsi="Aptos"/>
                <w:sz w:val="19"/>
              </w:rPr>
              <w:t>Every object is connected</w:t>
            </w:r>
          </w:p>
        </w:tc>
        <w:tc>
          <w:tcPr>
            <w:tcW w:type="dxa" w:w="5832"/>
            <w:tcMar>
              <w:top w:w="110" w:type="dxa"/>
              <w:start w:w="120" w:type="dxa"/>
              <w:bottom w:w="110" w:type="dxa"/>
              <w:end w:w="120" w:type="dxa"/>
            </w:tcMar>
            <w:shd w:fill="F4F7F5"/>
          </w:tcPr>
          <w:p>
            <w:pPr>
              <w:jc w:val="left"/>
            </w:pPr>
            <w:r>
              <w:rPr>
                <w:rFonts w:ascii="Aptos" w:hAnsi="Aptos"/>
                <w:sz w:val="19"/>
              </w:rPr>
              <w:t>Cocktails, recipes, staff, suppliers, equipment, courses and documents must never exist as isolated records.</w:t>
            </w:r>
          </w:p>
        </w:tc>
      </w:tr>
      <w:tr>
        <w:tc>
          <w:tcPr>
            <w:tcW w:type="dxa" w:w="792"/>
            <w:tcMar>
              <w:top w:w="110" w:type="dxa"/>
              <w:start w:w="120" w:type="dxa"/>
              <w:bottom w:w="110" w:type="dxa"/>
              <w:end w:w="120" w:type="dxa"/>
            </w:tcMar>
          </w:tcPr>
          <w:p>
            <w:pPr>
              <w:jc w:val="center"/>
            </w:pPr>
            <w:r>
              <w:rPr>
                <w:rFonts w:ascii="Aptos" w:hAnsi="Aptos"/>
                <w:sz w:val="19"/>
              </w:rPr>
              <w:t>05</w:t>
            </w:r>
          </w:p>
        </w:tc>
        <w:tc>
          <w:tcPr>
            <w:tcW w:type="dxa" w:w="2448"/>
            <w:tcMar>
              <w:top w:w="110" w:type="dxa"/>
              <w:start w:w="120" w:type="dxa"/>
              <w:bottom w:w="110" w:type="dxa"/>
              <w:end w:w="120" w:type="dxa"/>
            </w:tcMar>
          </w:tcPr>
          <w:p>
            <w:pPr>
              <w:jc w:val="left"/>
            </w:pPr>
            <w:r>
              <w:rPr>
                <w:rFonts w:ascii="Aptos" w:hAnsi="Aptos"/>
                <w:sz w:val="19"/>
              </w:rPr>
              <w:t>AI assists; humans decide</w:t>
            </w:r>
          </w:p>
        </w:tc>
        <w:tc>
          <w:tcPr>
            <w:tcW w:type="dxa" w:w="5832"/>
            <w:tcMar>
              <w:top w:w="110" w:type="dxa"/>
              <w:start w:w="120" w:type="dxa"/>
              <w:bottom w:w="110" w:type="dxa"/>
              <w:end w:w="120" w:type="dxa"/>
            </w:tcMar>
          </w:tcPr>
          <w:p>
            <w:pPr>
              <w:jc w:val="left"/>
            </w:pPr>
            <w:r>
              <w:rPr>
                <w:rFonts w:ascii="Aptos" w:hAnsi="Aptos"/>
                <w:sz w:val="19"/>
              </w:rPr>
              <w:t>AI may recommend, explain, forecast and prepare. Consequential decisions remain accountable to authorized people.</w:t>
            </w:r>
          </w:p>
        </w:tc>
      </w:tr>
      <w:tr>
        <w:tc>
          <w:tcPr>
            <w:tcW w:type="dxa" w:w="792"/>
            <w:tcMar>
              <w:top w:w="110" w:type="dxa"/>
              <w:start w:w="120" w:type="dxa"/>
              <w:bottom w:w="110" w:type="dxa"/>
              <w:end w:w="120" w:type="dxa"/>
            </w:tcMar>
            <w:shd w:fill="F4F7F5"/>
          </w:tcPr>
          <w:p>
            <w:pPr>
              <w:jc w:val="center"/>
            </w:pPr>
            <w:r>
              <w:rPr>
                <w:rFonts w:ascii="Aptos" w:hAnsi="Aptos"/>
                <w:sz w:val="19"/>
              </w:rPr>
              <w:t>06</w:t>
            </w:r>
          </w:p>
        </w:tc>
        <w:tc>
          <w:tcPr>
            <w:tcW w:type="dxa" w:w="2448"/>
            <w:tcMar>
              <w:top w:w="110" w:type="dxa"/>
              <w:start w:w="120" w:type="dxa"/>
              <w:bottom w:w="110" w:type="dxa"/>
              <w:end w:w="120" w:type="dxa"/>
            </w:tcMar>
            <w:shd w:fill="F4F7F5"/>
          </w:tcPr>
          <w:p>
            <w:pPr>
              <w:jc w:val="left"/>
            </w:pPr>
            <w:r>
              <w:rPr>
                <w:rFonts w:ascii="Aptos" w:hAnsi="Aptos"/>
                <w:sz w:val="19"/>
              </w:rPr>
              <w:t>Build once; reuse everywhere</w:t>
            </w:r>
          </w:p>
        </w:tc>
        <w:tc>
          <w:tcPr>
            <w:tcW w:type="dxa" w:w="5832"/>
            <w:tcMar>
              <w:top w:w="110" w:type="dxa"/>
              <w:start w:w="120" w:type="dxa"/>
              <w:bottom w:w="110" w:type="dxa"/>
              <w:end w:w="120" w:type="dxa"/>
            </w:tcMar>
            <w:shd w:fill="F4F7F5"/>
          </w:tcPr>
          <w:p>
            <w:pPr>
              <w:jc w:val="left"/>
            </w:pPr>
            <w:r>
              <w:rPr>
                <w:rFonts w:ascii="Aptos" w:hAnsi="Aptos"/>
                <w:sz w:val="19"/>
              </w:rPr>
              <w:t>A single approved object should power the Knowledge Centre, Academy, Ask Paddy, operations, marketing and analytics.</w:t>
            </w:r>
          </w:p>
        </w:tc>
      </w:tr>
      <w:tr>
        <w:tc>
          <w:tcPr>
            <w:tcW w:type="dxa" w:w="792"/>
            <w:tcMar>
              <w:top w:w="110" w:type="dxa"/>
              <w:start w:w="120" w:type="dxa"/>
              <w:bottom w:w="110" w:type="dxa"/>
              <w:end w:w="120" w:type="dxa"/>
            </w:tcMar>
          </w:tcPr>
          <w:p>
            <w:pPr>
              <w:jc w:val="center"/>
            </w:pPr>
            <w:r>
              <w:rPr>
                <w:rFonts w:ascii="Aptos" w:hAnsi="Aptos"/>
                <w:sz w:val="19"/>
              </w:rPr>
              <w:t>07</w:t>
            </w:r>
          </w:p>
        </w:tc>
        <w:tc>
          <w:tcPr>
            <w:tcW w:type="dxa" w:w="2448"/>
            <w:tcMar>
              <w:top w:w="110" w:type="dxa"/>
              <w:start w:w="120" w:type="dxa"/>
              <w:bottom w:w="110" w:type="dxa"/>
              <w:end w:w="120" w:type="dxa"/>
            </w:tcMar>
          </w:tcPr>
          <w:p>
            <w:pPr>
              <w:jc w:val="left"/>
            </w:pPr>
            <w:r>
              <w:rPr>
                <w:rFonts w:ascii="Aptos" w:hAnsi="Aptos"/>
                <w:sz w:val="19"/>
              </w:rPr>
              <w:t>Evidence before opinion</w:t>
            </w:r>
          </w:p>
        </w:tc>
        <w:tc>
          <w:tcPr>
            <w:tcW w:type="dxa" w:w="5832"/>
            <w:tcMar>
              <w:top w:w="110" w:type="dxa"/>
              <w:start w:w="120" w:type="dxa"/>
              <w:bottom w:w="110" w:type="dxa"/>
              <w:end w:w="120" w:type="dxa"/>
            </w:tcMar>
          </w:tcPr>
          <w:p>
            <w:pPr>
              <w:jc w:val="left"/>
            </w:pPr>
            <w:r>
              <w:rPr>
                <w:rFonts w:ascii="Aptos" w:hAnsi="Aptos"/>
                <w:sz w:val="19"/>
              </w:rPr>
              <w:t>Recommendations should reference approved content, reliable data or transparent assumptions.</w:t>
            </w:r>
          </w:p>
        </w:tc>
      </w:tr>
      <w:tr>
        <w:tc>
          <w:tcPr>
            <w:tcW w:type="dxa" w:w="792"/>
            <w:tcMar>
              <w:top w:w="110" w:type="dxa"/>
              <w:start w:w="120" w:type="dxa"/>
              <w:bottom w:w="110" w:type="dxa"/>
              <w:end w:w="120" w:type="dxa"/>
            </w:tcMar>
            <w:shd w:fill="F4F7F5"/>
          </w:tcPr>
          <w:p>
            <w:pPr>
              <w:jc w:val="center"/>
            </w:pPr>
            <w:r>
              <w:rPr>
                <w:rFonts w:ascii="Aptos" w:hAnsi="Aptos"/>
                <w:sz w:val="19"/>
              </w:rPr>
              <w:t>08</w:t>
            </w:r>
          </w:p>
        </w:tc>
        <w:tc>
          <w:tcPr>
            <w:tcW w:type="dxa" w:w="2448"/>
            <w:tcMar>
              <w:top w:w="110" w:type="dxa"/>
              <w:start w:w="120" w:type="dxa"/>
              <w:bottom w:w="110" w:type="dxa"/>
              <w:end w:w="120" w:type="dxa"/>
            </w:tcMar>
            <w:shd w:fill="F4F7F5"/>
          </w:tcPr>
          <w:p>
            <w:pPr>
              <w:jc w:val="left"/>
            </w:pPr>
            <w:r>
              <w:rPr>
                <w:rFonts w:ascii="Aptos" w:hAnsi="Aptos"/>
                <w:sz w:val="19"/>
              </w:rPr>
              <w:t>Role relevance</w:t>
            </w:r>
          </w:p>
        </w:tc>
        <w:tc>
          <w:tcPr>
            <w:tcW w:type="dxa" w:w="5832"/>
            <w:tcMar>
              <w:top w:w="110" w:type="dxa"/>
              <w:start w:w="120" w:type="dxa"/>
              <w:bottom w:w="110" w:type="dxa"/>
              <w:end w:w="120" w:type="dxa"/>
            </w:tcMar>
            <w:shd w:fill="F4F7F5"/>
          </w:tcPr>
          <w:p>
            <w:pPr>
              <w:jc w:val="left"/>
            </w:pPr>
            <w:r>
              <w:rPr>
                <w:rFonts w:ascii="Aptos" w:hAnsi="Aptos"/>
                <w:sz w:val="19"/>
              </w:rPr>
              <w:t>Every user should see what is relevant to their job, authority and current context.</w:t>
            </w:r>
          </w:p>
        </w:tc>
      </w:tr>
      <w:tr>
        <w:tc>
          <w:tcPr>
            <w:tcW w:type="dxa" w:w="792"/>
            <w:tcMar>
              <w:top w:w="110" w:type="dxa"/>
              <w:start w:w="120" w:type="dxa"/>
              <w:bottom w:w="110" w:type="dxa"/>
              <w:end w:w="120" w:type="dxa"/>
            </w:tcMar>
          </w:tcPr>
          <w:p>
            <w:pPr>
              <w:jc w:val="center"/>
            </w:pPr>
            <w:r>
              <w:rPr>
                <w:rFonts w:ascii="Aptos" w:hAnsi="Aptos"/>
                <w:sz w:val="19"/>
              </w:rPr>
              <w:t>09</w:t>
            </w:r>
          </w:p>
        </w:tc>
        <w:tc>
          <w:tcPr>
            <w:tcW w:type="dxa" w:w="2448"/>
            <w:tcMar>
              <w:top w:w="110" w:type="dxa"/>
              <w:start w:w="120" w:type="dxa"/>
              <w:bottom w:w="110" w:type="dxa"/>
              <w:end w:w="120" w:type="dxa"/>
            </w:tcMar>
          </w:tcPr>
          <w:p>
            <w:pPr>
              <w:jc w:val="left"/>
            </w:pPr>
            <w:r>
              <w:rPr>
                <w:rFonts w:ascii="Aptos" w:hAnsi="Aptos"/>
                <w:sz w:val="19"/>
              </w:rPr>
              <w:t>Privacy by design</w:t>
            </w:r>
          </w:p>
        </w:tc>
        <w:tc>
          <w:tcPr>
            <w:tcW w:type="dxa" w:w="5832"/>
            <w:tcMar>
              <w:top w:w="110" w:type="dxa"/>
              <w:start w:w="120" w:type="dxa"/>
              <w:bottom w:w="110" w:type="dxa"/>
              <w:end w:w="120" w:type="dxa"/>
            </w:tcMar>
          </w:tcPr>
          <w:p>
            <w:pPr>
              <w:jc w:val="left"/>
            </w:pPr>
            <w:r>
              <w:rPr>
                <w:rFonts w:ascii="Aptos" w:hAnsi="Aptos"/>
                <w:sz w:val="19"/>
              </w:rPr>
              <w:t>Personal and commercially sensitive data must be minimized, protected and used for a legitimate purpose.</w:t>
            </w:r>
          </w:p>
        </w:tc>
      </w:tr>
      <w:tr>
        <w:tc>
          <w:tcPr>
            <w:tcW w:type="dxa" w:w="792"/>
            <w:tcMar>
              <w:top w:w="110" w:type="dxa"/>
              <w:start w:w="120" w:type="dxa"/>
              <w:bottom w:w="110" w:type="dxa"/>
              <w:end w:w="120" w:type="dxa"/>
            </w:tcMar>
            <w:shd w:fill="F4F7F5"/>
          </w:tcPr>
          <w:p>
            <w:pPr>
              <w:jc w:val="center"/>
            </w:pPr>
            <w:r>
              <w:rPr>
                <w:rFonts w:ascii="Aptos" w:hAnsi="Aptos"/>
                <w:sz w:val="19"/>
              </w:rPr>
              <w:t>10</w:t>
            </w:r>
          </w:p>
        </w:tc>
        <w:tc>
          <w:tcPr>
            <w:tcW w:type="dxa" w:w="2448"/>
            <w:tcMar>
              <w:top w:w="110" w:type="dxa"/>
              <w:start w:w="120" w:type="dxa"/>
              <w:bottom w:w="110" w:type="dxa"/>
              <w:end w:w="120" w:type="dxa"/>
            </w:tcMar>
            <w:shd w:fill="F4F7F5"/>
          </w:tcPr>
          <w:p>
            <w:pPr>
              <w:jc w:val="left"/>
            </w:pPr>
            <w:r>
              <w:rPr>
                <w:rFonts w:ascii="Aptos" w:hAnsi="Aptos"/>
                <w:sz w:val="19"/>
              </w:rPr>
              <w:t>Continuous improvement</w:t>
            </w:r>
          </w:p>
        </w:tc>
        <w:tc>
          <w:tcPr>
            <w:tcW w:type="dxa" w:w="5832"/>
            <w:tcMar>
              <w:top w:w="110" w:type="dxa"/>
              <w:start w:w="120" w:type="dxa"/>
              <w:bottom w:w="110" w:type="dxa"/>
              <w:end w:w="120" w:type="dxa"/>
            </w:tcMar>
            <w:shd w:fill="F4F7F5"/>
          </w:tcPr>
          <w:p>
            <w:pPr>
              <w:jc w:val="left"/>
            </w:pPr>
            <w:r>
              <w:rPr>
                <w:rFonts w:ascii="Aptos" w:hAnsi="Aptos"/>
                <w:sz w:val="19"/>
              </w:rPr>
              <w:t>Every release, object and process should be reviewed, measured and improved over time.</w:t>
            </w:r>
          </w:p>
        </w:tc>
      </w:tr>
    </w:tbl>
    <w:p>
      <w:pPr>
        <w:spacing w:after="40"/>
      </w:pPr>
    </w:p>
    <w:p>
      <w:pPr>
        <w:pStyle w:val="Heading1"/>
      </w:pPr>
      <w:r>
        <w:t>3. Platform Identity</w:t>
      </w:r>
    </w:p>
    <w:p>
      <w:r>
        <w:t>Irish Pub World Enterprise is not defined by any single module. It is a connected hospitality operating platform whose products share a common identity, content engine, data model, governance system and intelligence layer.</w:t>
      </w:r>
    </w:p>
    <w:tbl>
      <w:tblPr>
        <w:tblStyle w:val="TableGrid"/>
        <w:tblW w:type="auto" w:w="0"/>
        <w:jc w:val="center"/>
        <w:tblLook w:firstColumn="1" w:firstRow="1" w:lastColumn="0" w:lastRow="0" w:noHBand="0" w:noVBand="1" w:val="04A0"/>
      </w:tblPr>
      <w:tblGrid>
        <w:gridCol w:w="4896"/>
        <w:gridCol w:w="4896"/>
      </w:tblGrid>
      <w:tr>
        <w:tc>
          <w:tcPr>
            <w:tcW w:type="dxa" w:w="3168"/>
            <w:shd w:fill="1F6B4F"/>
            <w:tcMar>
              <w:top w:w="120" w:type="dxa"/>
              <w:start w:w="120" w:type="dxa"/>
              <w:bottom w:w="120" w:type="dxa"/>
              <w:end w:w="120" w:type="dxa"/>
            </w:tcMar>
            <w:vAlign w:val="center"/>
          </w:tcPr>
          <w:p>
            <w:pPr>
              <w:jc w:val="center"/>
            </w:pPr>
            <w:r>
              <w:rPr>
                <w:rFonts w:ascii="Aptos" w:hAnsi="Aptos"/>
                <w:b/>
                <w:color w:val="FFFFFF"/>
                <w:sz w:val="19"/>
              </w:rPr>
              <w:t>The platform is not merely…</w:t>
            </w:r>
          </w:p>
        </w:tc>
        <w:tc>
          <w:tcPr>
            <w:tcW w:type="dxa" w:w="5903"/>
            <w:shd w:fill="1F6B4F"/>
            <w:tcMar>
              <w:top w:w="120" w:type="dxa"/>
              <w:start w:w="120" w:type="dxa"/>
              <w:bottom w:w="120" w:type="dxa"/>
              <w:end w:w="120" w:type="dxa"/>
            </w:tcMar>
            <w:vAlign w:val="center"/>
          </w:tcPr>
          <w:p>
            <w:pPr>
              <w:jc w:val="center"/>
            </w:pPr>
            <w:r>
              <w:rPr>
                <w:rFonts w:ascii="Aptos" w:hAnsi="Aptos"/>
                <w:b/>
                <w:color w:val="FFFFFF"/>
                <w:sz w:val="19"/>
              </w:rPr>
              <w:t>It is…</w:t>
            </w:r>
          </w:p>
        </w:tc>
      </w:tr>
      <w:tr>
        <w:tc>
          <w:tcPr>
            <w:tcW w:type="dxa" w:w="3168"/>
            <w:tcMar>
              <w:top w:w="110" w:type="dxa"/>
              <w:start w:w="120" w:type="dxa"/>
              <w:bottom w:w="110" w:type="dxa"/>
              <w:end w:w="120" w:type="dxa"/>
            </w:tcMar>
          </w:tcPr>
          <w:p>
            <w:pPr>
              <w:jc w:val="left"/>
            </w:pPr>
            <w:r>
              <w:rPr>
                <w:rFonts w:ascii="Aptos" w:hAnsi="Aptos"/>
                <w:sz w:val="19"/>
              </w:rPr>
              <w:t>An LMS</w:t>
            </w:r>
          </w:p>
        </w:tc>
        <w:tc>
          <w:tcPr>
            <w:tcW w:type="dxa" w:w="5903"/>
            <w:tcMar>
              <w:top w:w="110" w:type="dxa"/>
              <w:start w:w="120" w:type="dxa"/>
              <w:bottom w:w="110" w:type="dxa"/>
              <w:end w:w="120" w:type="dxa"/>
            </w:tcMar>
          </w:tcPr>
          <w:p>
            <w:pPr>
              <w:jc w:val="left"/>
            </w:pPr>
            <w:r>
              <w:rPr>
                <w:rFonts w:ascii="Aptos" w:hAnsi="Aptos"/>
                <w:sz w:val="19"/>
              </w:rPr>
              <w:t>A role-based learning and competency environment connected to daily operations.</w:t>
            </w:r>
          </w:p>
        </w:tc>
      </w:tr>
      <w:tr>
        <w:tc>
          <w:tcPr>
            <w:tcW w:type="dxa" w:w="3168"/>
            <w:tcMar>
              <w:top w:w="110" w:type="dxa"/>
              <w:start w:w="120" w:type="dxa"/>
              <w:bottom w:w="110" w:type="dxa"/>
              <w:end w:w="120" w:type="dxa"/>
            </w:tcMar>
            <w:shd w:fill="F4F7F5"/>
          </w:tcPr>
          <w:p>
            <w:pPr>
              <w:jc w:val="left"/>
            </w:pPr>
            <w:r>
              <w:rPr>
                <w:rFonts w:ascii="Aptos" w:hAnsi="Aptos"/>
                <w:sz w:val="19"/>
              </w:rPr>
              <w:t>A POS</w:t>
            </w:r>
          </w:p>
        </w:tc>
        <w:tc>
          <w:tcPr>
            <w:tcW w:type="dxa" w:w="5903"/>
            <w:tcMar>
              <w:top w:w="110" w:type="dxa"/>
              <w:start w:w="120" w:type="dxa"/>
              <w:bottom w:w="110" w:type="dxa"/>
              <w:end w:w="120" w:type="dxa"/>
            </w:tcMar>
            <w:shd w:fill="F4F7F5"/>
          </w:tcPr>
          <w:p>
            <w:pPr>
              <w:jc w:val="left"/>
            </w:pPr>
            <w:r>
              <w:rPr>
                <w:rFonts w:ascii="Aptos" w:hAnsi="Aptos"/>
                <w:sz w:val="19"/>
              </w:rPr>
              <w:t>A transaction and operational data source connected to inventory, finance, workforce and guest experience.</w:t>
            </w:r>
          </w:p>
        </w:tc>
      </w:tr>
      <w:tr>
        <w:tc>
          <w:tcPr>
            <w:tcW w:type="dxa" w:w="3168"/>
            <w:tcMar>
              <w:top w:w="110" w:type="dxa"/>
              <w:start w:w="120" w:type="dxa"/>
              <w:bottom w:w="110" w:type="dxa"/>
              <w:end w:w="120" w:type="dxa"/>
            </w:tcMar>
          </w:tcPr>
          <w:p>
            <w:pPr>
              <w:jc w:val="left"/>
            </w:pPr>
            <w:r>
              <w:rPr>
                <w:rFonts w:ascii="Aptos" w:hAnsi="Aptos"/>
                <w:sz w:val="19"/>
              </w:rPr>
              <w:t>A document library</w:t>
            </w:r>
          </w:p>
        </w:tc>
        <w:tc>
          <w:tcPr>
            <w:tcW w:type="dxa" w:w="5903"/>
            <w:tcMar>
              <w:top w:w="110" w:type="dxa"/>
              <w:start w:w="120" w:type="dxa"/>
              <w:bottom w:w="110" w:type="dxa"/>
              <w:end w:w="120" w:type="dxa"/>
            </w:tcMar>
          </w:tcPr>
          <w:p>
            <w:pPr>
              <w:jc w:val="left"/>
            </w:pPr>
            <w:r>
              <w:rPr>
                <w:rFonts w:ascii="Aptos" w:hAnsi="Aptos"/>
                <w:sz w:val="19"/>
              </w:rPr>
              <w:t>A governed network of usable standards, forms, workflows and interactive operational records.</w:t>
            </w:r>
          </w:p>
        </w:tc>
      </w:tr>
      <w:tr>
        <w:tc>
          <w:tcPr>
            <w:tcW w:type="dxa" w:w="3168"/>
            <w:tcMar>
              <w:top w:w="110" w:type="dxa"/>
              <w:start w:w="120" w:type="dxa"/>
              <w:bottom w:w="110" w:type="dxa"/>
              <w:end w:w="120" w:type="dxa"/>
            </w:tcMar>
            <w:shd w:fill="F4F7F5"/>
          </w:tcPr>
          <w:p>
            <w:pPr>
              <w:jc w:val="left"/>
            </w:pPr>
            <w:r>
              <w:rPr>
                <w:rFonts w:ascii="Aptos" w:hAnsi="Aptos"/>
                <w:sz w:val="19"/>
              </w:rPr>
              <w:t>An AI chatbot</w:t>
            </w:r>
          </w:p>
        </w:tc>
        <w:tc>
          <w:tcPr>
            <w:tcW w:type="dxa" w:w="5903"/>
            <w:tcMar>
              <w:top w:w="110" w:type="dxa"/>
              <w:start w:w="120" w:type="dxa"/>
              <w:bottom w:w="110" w:type="dxa"/>
              <w:end w:w="120" w:type="dxa"/>
            </w:tcMar>
            <w:shd w:fill="F4F7F5"/>
          </w:tcPr>
          <w:p>
            <w:pPr>
              <w:jc w:val="left"/>
            </w:pPr>
            <w:r>
              <w:rPr>
                <w:rFonts w:ascii="Aptos" w:hAnsi="Aptos"/>
                <w:sz w:val="19"/>
              </w:rPr>
              <w:t>A source-aware hospitality intelligence layer grounded in approved knowledge and authorized business data.</w:t>
            </w:r>
          </w:p>
        </w:tc>
      </w:tr>
      <w:tr>
        <w:tc>
          <w:tcPr>
            <w:tcW w:type="dxa" w:w="3168"/>
            <w:tcMar>
              <w:top w:w="110" w:type="dxa"/>
              <w:start w:w="120" w:type="dxa"/>
              <w:bottom w:w="110" w:type="dxa"/>
              <w:end w:w="120" w:type="dxa"/>
            </w:tcMar>
          </w:tcPr>
          <w:p>
            <w:pPr>
              <w:jc w:val="left"/>
            </w:pPr>
            <w:r>
              <w:rPr>
                <w:rFonts w:ascii="Aptos" w:hAnsi="Aptos"/>
                <w:sz w:val="19"/>
              </w:rPr>
              <w:t>A collection of apps</w:t>
            </w:r>
          </w:p>
        </w:tc>
        <w:tc>
          <w:tcPr>
            <w:tcW w:type="dxa" w:w="5903"/>
            <w:tcMar>
              <w:top w:w="110" w:type="dxa"/>
              <w:start w:w="120" w:type="dxa"/>
              <w:bottom w:w="110" w:type="dxa"/>
              <w:end w:w="120" w:type="dxa"/>
            </w:tcMar>
          </w:tcPr>
          <w:p>
            <w:pPr>
              <w:jc w:val="left"/>
            </w:pPr>
            <w:r>
              <w:rPr>
                <w:rFonts w:ascii="Aptos" w:hAnsi="Aptos"/>
                <w:sz w:val="19"/>
              </w:rPr>
              <w:t>One Enterprise Experience with specialist operating products behind it.</w:t>
            </w:r>
          </w:p>
        </w:tc>
      </w:tr>
    </w:tbl>
    <w:p>
      <w:pPr>
        <w:spacing w:after="40"/>
      </w:pPr>
    </w:p>
    <w:p>
      <w:pPr>
        <w:pStyle w:val="Heading1"/>
      </w:pPr>
      <w:r>
        <w:t>4. Required User Outcomes</w:t>
      </w:r>
    </w:p>
    <w:p>
      <w:r>
        <w:t>Every major screen, workflow and content object should help a user answer three questions quickly:</w:t>
      </w:r>
    </w:p>
    <w:p>
      <w:pPr>
        <w:pStyle w:val="ListNumber"/>
        <w:spacing w:after="80"/>
      </w:pPr>
      <w:r>
        <w:rPr>
          <w:rFonts w:ascii="Aptos" w:hAnsi="Aptos"/>
          <w:sz w:val="21"/>
        </w:rPr>
        <w:t>What is happening?</w:t>
      </w:r>
    </w:p>
    <w:p>
      <w:pPr>
        <w:pStyle w:val="ListNumber"/>
        <w:spacing w:after="80"/>
      </w:pPr>
      <w:r>
        <w:rPr>
          <w:rFonts w:ascii="Aptos" w:hAnsi="Aptos"/>
          <w:sz w:val="21"/>
        </w:rPr>
        <w:t>What needs attention?</w:t>
      </w:r>
    </w:p>
    <w:p>
      <w:pPr>
        <w:pStyle w:val="ListNumber"/>
        <w:spacing w:after="80"/>
      </w:pPr>
      <w:r>
        <w:rPr>
          <w:rFonts w:ascii="Aptos" w:hAnsi="Aptos"/>
          <w:sz w:val="21"/>
        </w:rPr>
        <w:t>What should I do next?</w:t>
      </w:r>
    </w:p>
    <w:tbl>
      <w:tblPr>
        <w:tblW w:type="auto" w:w="0"/>
        <w:jc w:val="center"/>
        <w:tblLayout w:type="fixed"/>
        <w:tblLook w:firstColumn="1" w:firstRow="1" w:lastColumn="0" w:lastRow="0" w:noHBand="0" w:noVBand="1" w:val="04A0"/>
      </w:tblPr>
      <w:tblGrid>
        <w:gridCol w:w="9792"/>
      </w:tblGrid>
      <w:tr>
        <w:tc>
          <w:tcPr>
            <w:tcW w:type="dxa" w:w="9144"/>
            <w:shd w:fill="EAF5EF"/>
            <w:tcMar>
              <w:top w:w="180" w:type="dxa"/>
              <w:start w:w="220" w:type="dxa"/>
              <w:bottom w:w="180" w:type="dxa"/>
              <w:end w:w="220" w:type="dxa"/>
            </w:tcMar>
            <w:tcBorders>
              <w:top w:val="single" w:sz="8" w:color="1F6B4F"/>
              <w:left w:val="single" w:sz="8" w:color="1F6B4F"/>
              <w:bottom w:val="single" w:sz="8" w:color="1F6B4F"/>
              <w:right w:val="single" w:sz="8" w:color="1F6B4F"/>
            </w:tcBorders>
          </w:tcPr>
          <w:p>
            <w:r>
              <w:rPr>
                <w:rFonts w:ascii="Aptos" w:hAnsi="Aptos"/>
                <w:b/>
                <w:color w:val="1F6B4F"/>
                <w:sz w:val="22"/>
              </w:rPr>
              <w:t>Outcome Test</w:t>
              <w:br/>
            </w:r>
            <w:r>
              <w:rPr>
                <w:rFonts w:ascii="Aptos" w:hAnsi="Aptos"/>
                <w:b w:val="0"/>
                <w:color w:val="24302A"/>
                <w:sz w:val="21"/>
              </w:rPr>
              <w:t>A proposed feature should not be approved solely because it is technically possible. It must produce a clear operational, safety, learning, guest, financial or strategic outcome.</w:t>
            </w:r>
          </w:p>
        </w:tc>
      </w:tr>
    </w:tbl>
    <w:p>
      <w:pPr>
        <w:spacing w:after="40"/>
      </w:pPr>
    </w:p>
    <w:p>
      <w:pPr>
        <w:pStyle w:val="Heading1"/>
      </w:pPr>
      <w:r>
        <w:t>5. Enterprise Experience and Navigation</w:t>
      </w:r>
    </w:p>
    <w:p>
      <w:r>
        <w:t>The primary navigation is limited to eight understandable workspaces. Product names may exist inside those workspaces, but they should not overwhelm the user.</w:t>
      </w:r>
    </w:p>
    <w:tbl>
      <w:tblPr>
        <w:tblStyle w:val="TableGrid"/>
        <w:tblW w:type="auto" w:w="0"/>
        <w:jc w:val="center"/>
        <w:tblLook w:firstColumn="1" w:firstRow="1" w:lastColumn="0" w:lastRow="0" w:noHBand="0" w:noVBand="1" w:val="04A0"/>
      </w:tblPr>
      <w:tblGrid>
        <w:gridCol w:w="3264"/>
        <w:gridCol w:w="3264"/>
        <w:gridCol w:w="3264"/>
      </w:tblGrid>
      <w:tr>
        <w:tc>
          <w:tcPr>
            <w:tcW w:type="dxa" w:w="1584"/>
            <w:shd w:fill="1F6B4F"/>
            <w:tcMar>
              <w:top w:w="120" w:type="dxa"/>
              <w:start w:w="120" w:type="dxa"/>
              <w:bottom w:w="120" w:type="dxa"/>
              <w:end w:w="120" w:type="dxa"/>
            </w:tcMar>
            <w:vAlign w:val="center"/>
          </w:tcPr>
          <w:p>
            <w:pPr>
              <w:jc w:val="center"/>
            </w:pPr>
            <w:r>
              <w:rPr>
                <w:rFonts w:ascii="Aptos" w:hAnsi="Aptos"/>
                <w:b/>
                <w:color w:val="FFFFFF"/>
                <w:sz w:val="19"/>
              </w:rPr>
              <w:t>Workspace</w:t>
            </w:r>
          </w:p>
        </w:tc>
        <w:tc>
          <w:tcPr>
            <w:tcW w:type="dxa" w:w="2376"/>
            <w:shd w:fill="1F6B4F"/>
            <w:tcMar>
              <w:top w:w="120" w:type="dxa"/>
              <w:start w:w="120" w:type="dxa"/>
              <w:bottom w:w="120" w:type="dxa"/>
              <w:end w:w="120" w:type="dxa"/>
            </w:tcMar>
            <w:vAlign w:val="center"/>
          </w:tcPr>
          <w:p>
            <w:pPr>
              <w:jc w:val="center"/>
            </w:pPr>
            <w:r>
              <w:rPr>
                <w:rFonts w:ascii="Aptos" w:hAnsi="Aptos"/>
                <w:b/>
                <w:color w:val="FFFFFF"/>
                <w:sz w:val="19"/>
              </w:rPr>
              <w:t>Purpose</w:t>
            </w:r>
          </w:p>
        </w:tc>
        <w:tc>
          <w:tcPr>
            <w:tcW w:type="dxa" w:w="5184"/>
            <w:shd w:fill="1F6B4F"/>
            <w:tcMar>
              <w:top w:w="120" w:type="dxa"/>
              <w:start w:w="120" w:type="dxa"/>
              <w:bottom w:w="120" w:type="dxa"/>
              <w:end w:w="120" w:type="dxa"/>
            </w:tcMar>
            <w:vAlign w:val="center"/>
          </w:tcPr>
          <w:p>
            <w:pPr>
              <w:jc w:val="center"/>
            </w:pPr>
            <w:r>
              <w:rPr>
                <w:rFonts w:ascii="Aptos" w:hAnsi="Aptos"/>
                <w:b/>
                <w:color w:val="FFFFFF"/>
                <w:sz w:val="19"/>
              </w:rPr>
              <w:t>Representative Capabilities</w:t>
            </w:r>
          </w:p>
        </w:tc>
      </w:tr>
      <w:tr>
        <w:tc>
          <w:tcPr>
            <w:tcW w:type="dxa" w:w="1584"/>
            <w:tcMar>
              <w:top w:w="110" w:type="dxa"/>
              <w:start w:w="120" w:type="dxa"/>
              <w:bottom w:w="110" w:type="dxa"/>
              <w:end w:w="120" w:type="dxa"/>
            </w:tcMar>
          </w:tcPr>
          <w:p>
            <w:pPr>
              <w:jc w:val="center"/>
            </w:pPr>
            <w:r>
              <w:rPr>
                <w:rFonts w:ascii="Aptos" w:hAnsi="Aptos"/>
                <w:sz w:val="19"/>
              </w:rPr>
              <w:t>Home</w:t>
            </w:r>
          </w:p>
        </w:tc>
        <w:tc>
          <w:tcPr>
            <w:tcW w:type="dxa" w:w="2376"/>
            <w:tcMar>
              <w:top w:w="110" w:type="dxa"/>
              <w:start w:w="120" w:type="dxa"/>
              <w:bottom w:w="110" w:type="dxa"/>
              <w:end w:w="120" w:type="dxa"/>
            </w:tcMar>
          </w:tcPr>
          <w:p>
            <w:pPr>
              <w:jc w:val="left"/>
            </w:pPr>
            <w:r>
              <w:rPr>
                <w:rFonts w:ascii="Aptos" w:hAnsi="Aptos"/>
                <w:sz w:val="19"/>
              </w:rPr>
              <w:t>Daily context and immediate priorities</w:t>
            </w:r>
          </w:p>
        </w:tc>
        <w:tc>
          <w:tcPr>
            <w:tcW w:type="dxa" w:w="5184"/>
            <w:tcMar>
              <w:top w:w="110" w:type="dxa"/>
              <w:start w:w="120" w:type="dxa"/>
              <w:bottom w:w="110" w:type="dxa"/>
              <w:end w:w="120" w:type="dxa"/>
            </w:tcMar>
          </w:tcPr>
          <w:p>
            <w:pPr>
              <w:jc w:val="left"/>
            </w:pPr>
            <w:r>
              <w:rPr>
                <w:rFonts w:ascii="Aptos" w:hAnsi="Aptos"/>
                <w:sz w:val="19"/>
              </w:rPr>
              <w:t>Briefing, tasks, alerts, favorites, approvals and quick actions</w:t>
            </w:r>
          </w:p>
        </w:tc>
      </w:tr>
      <w:tr>
        <w:tc>
          <w:tcPr>
            <w:tcW w:type="dxa" w:w="1584"/>
            <w:tcMar>
              <w:top w:w="110" w:type="dxa"/>
              <w:start w:w="120" w:type="dxa"/>
              <w:bottom w:w="110" w:type="dxa"/>
              <w:end w:w="120" w:type="dxa"/>
            </w:tcMar>
            <w:shd w:fill="F4F7F5"/>
          </w:tcPr>
          <w:p>
            <w:pPr>
              <w:jc w:val="center"/>
            </w:pPr>
            <w:r>
              <w:rPr>
                <w:rFonts w:ascii="Aptos" w:hAnsi="Aptos"/>
                <w:sz w:val="19"/>
              </w:rPr>
              <w:t>My Business</w:t>
            </w:r>
          </w:p>
        </w:tc>
        <w:tc>
          <w:tcPr>
            <w:tcW w:type="dxa" w:w="2376"/>
            <w:tcMar>
              <w:top w:w="110" w:type="dxa"/>
              <w:start w:w="120" w:type="dxa"/>
              <w:bottom w:w="110" w:type="dxa"/>
              <w:end w:w="120" w:type="dxa"/>
            </w:tcMar>
            <w:shd w:fill="F4F7F5"/>
          </w:tcPr>
          <w:p>
            <w:pPr>
              <w:jc w:val="left"/>
            </w:pPr>
            <w:r>
              <w:rPr>
                <w:rFonts w:ascii="Aptos" w:hAnsi="Aptos"/>
                <w:sz w:val="19"/>
              </w:rPr>
              <w:t>Owner and manager command</w:t>
            </w:r>
          </w:p>
        </w:tc>
        <w:tc>
          <w:tcPr>
            <w:tcW w:type="dxa" w:w="5184"/>
            <w:tcMar>
              <w:top w:w="110" w:type="dxa"/>
              <w:start w:w="120" w:type="dxa"/>
              <w:bottom w:w="110" w:type="dxa"/>
              <w:end w:w="120" w:type="dxa"/>
            </w:tcMar>
            <w:shd w:fill="F4F7F5"/>
          </w:tcPr>
          <w:p>
            <w:pPr>
              <w:jc w:val="left"/>
            </w:pPr>
            <w:r>
              <w:rPr>
                <w:rFonts w:ascii="Aptos" w:hAnsi="Aptos"/>
                <w:sz w:val="19"/>
              </w:rPr>
              <w:t>Digital Twin, executive intelligence, health, reports and decisions</w:t>
            </w:r>
          </w:p>
        </w:tc>
      </w:tr>
      <w:tr>
        <w:tc>
          <w:tcPr>
            <w:tcW w:type="dxa" w:w="1584"/>
            <w:tcMar>
              <w:top w:w="110" w:type="dxa"/>
              <w:start w:w="120" w:type="dxa"/>
              <w:bottom w:w="110" w:type="dxa"/>
              <w:end w:w="120" w:type="dxa"/>
            </w:tcMar>
          </w:tcPr>
          <w:p>
            <w:pPr>
              <w:jc w:val="center"/>
            </w:pPr>
            <w:r>
              <w:rPr>
                <w:rFonts w:ascii="Aptos" w:hAnsi="Aptos"/>
                <w:sz w:val="19"/>
              </w:rPr>
              <w:t>Operations</w:t>
            </w:r>
          </w:p>
        </w:tc>
        <w:tc>
          <w:tcPr>
            <w:tcW w:type="dxa" w:w="2376"/>
            <w:tcMar>
              <w:top w:w="110" w:type="dxa"/>
              <w:start w:w="120" w:type="dxa"/>
              <w:bottom w:w="110" w:type="dxa"/>
              <w:end w:w="120" w:type="dxa"/>
            </w:tcMar>
          </w:tcPr>
          <w:p>
            <w:pPr>
              <w:jc w:val="left"/>
            </w:pPr>
            <w:r>
              <w:rPr>
                <w:rFonts w:ascii="Aptos" w:hAnsi="Aptos"/>
                <w:sz w:val="19"/>
              </w:rPr>
              <w:t>Daily pub execution</w:t>
            </w:r>
          </w:p>
        </w:tc>
        <w:tc>
          <w:tcPr>
            <w:tcW w:type="dxa" w:w="5184"/>
            <w:tcMar>
              <w:top w:w="110" w:type="dxa"/>
              <w:start w:w="120" w:type="dxa"/>
              <w:bottom w:w="110" w:type="dxa"/>
              <w:end w:w="120" w:type="dxa"/>
            </w:tcMar>
          </w:tcPr>
          <w:p>
            <w:pPr>
              <w:jc w:val="left"/>
            </w:pPr>
            <w:r>
              <w:rPr>
                <w:rFonts w:ascii="Aptos" w:hAnsi="Aptos"/>
                <w:sz w:val="19"/>
              </w:rPr>
              <w:t>Bar, kitchen, restaurant, POS, inventory, purchasing and suppliers</w:t>
            </w:r>
          </w:p>
        </w:tc>
      </w:tr>
      <w:tr>
        <w:tc>
          <w:tcPr>
            <w:tcW w:type="dxa" w:w="1584"/>
            <w:tcMar>
              <w:top w:w="110" w:type="dxa"/>
              <w:start w:w="120" w:type="dxa"/>
              <w:bottom w:w="110" w:type="dxa"/>
              <w:end w:w="120" w:type="dxa"/>
            </w:tcMar>
            <w:shd w:fill="F4F7F5"/>
          </w:tcPr>
          <w:p>
            <w:pPr>
              <w:jc w:val="center"/>
            </w:pPr>
            <w:r>
              <w:rPr>
                <w:rFonts w:ascii="Aptos" w:hAnsi="Aptos"/>
                <w:sz w:val="19"/>
              </w:rPr>
              <w:t>People</w:t>
            </w:r>
          </w:p>
        </w:tc>
        <w:tc>
          <w:tcPr>
            <w:tcW w:type="dxa" w:w="2376"/>
            <w:tcMar>
              <w:top w:w="110" w:type="dxa"/>
              <w:start w:w="120" w:type="dxa"/>
              <w:bottom w:w="110" w:type="dxa"/>
              <w:end w:w="120" w:type="dxa"/>
            </w:tcMar>
            <w:shd w:fill="F4F7F5"/>
          </w:tcPr>
          <w:p>
            <w:pPr>
              <w:jc w:val="left"/>
            </w:pPr>
            <w:r>
              <w:rPr>
                <w:rFonts w:ascii="Aptos" w:hAnsi="Aptos"/>
                <w:sz w:val="19"/>
              </w:rPr>
              <w:t>Workforce readiness</w:t>
            </w:r>
          </w:p>
        </w:tc>
        <w:tc>
          <w:tcPr>
            <w:tcW w:type="dxa" w:w="5184"/>
            <w:tcMar>
              <w:top w:w="110" w:type="dxa"/>
              <w:start w:w="120" w:type="dxa"/>
              <w:bottom w:w="110" w:type="dxa"/>
              <w:end w:w="120" w:type="dxa"/>
            </w:tcMar>
            <w:shd w:fill="F4F7F5"/>
          </w:tcPr>
          <w:p>
            <w:pPr>
              <w:jc w:val="left"/>
            </w:pPr>
            <w:r>
              <w:rPr>
                <w:rFonts w:ascii="Aptos" w:hAnsi="Aptos"/>
                <w:sz w:val="19"/>
              </w:rPr>
              <w:t>Employees, scheduling, recruitment, Academy, performance and recognition</w:t>
            </w:r>
          </w:p>
        </w:tc>
      </w:tr>
      <w:tr>
        <w:tc>
          <w:tcPr>
            <w:tcW w:type="dxa" w:w="1584"/>
            <w:tcMar>
              <w:top w:w="110" w:type="dxa"/>
              <w:start w:w="120" w:type="dxa"/>
              <w:bottom w:w="110" w:type="dxa"/>
              <w:end w:w="120" w:type="dxa"/>
            </w:tcMar>
          </w:tcPr>
          <w:p>
            <w:pPr>
              <w:jc w:val="center"/>
            </w:pPr>
            <w:r>
              <w:rPr>
                <w:rFonts w:ascii="Aptos" w:hAnsi="Aptos"/>
                <w:sz w:val="19"/>
              </w:rPr>
              <w:t>Business</w:t>
            </w:r>
          </w:p>
        </w:tc>
        <w:tc>
          <w:tcPr>
            <w:tcW w:type="dxa" w:w="2376"/>
            <w:tcMar>
              <w:top w:w="110" w:type="dxa"/>
              <w:start w:w="120" w:type="dxa"/>
              <w:bottom w:w="110" w:type="dxa"/>
              <w:end w:w="120" w:type="dxa"/>
            </w:tcMar>
          </w:tcPr>
          <w:p>
            <w:pPr>
              <w:jc w:val="left"/>
            </w:pPr>
            <w:r>
              <w:rPr>
                <w:rFonts w:ascii="Aptos" w:hAnsi="Aptos"/>
                <w:sz w:val="19"/>
              </w:rPr>
              <w:t>Commercial performance</w:t>
            </w:r>
          </w:p>
        </w:tc>
        <w:tc>
          <w:tcPr>
            <w:tcW w:type="dxa" w:w="5184"/>
            <w:tcMar>
              <w:top w:w="110" w:type="dxa"/>
              <w:start w:w="120" w:type="dxa"/>
              <w:bottom w:w="110" w:type="dxa"/>
              <w:end w:w="120" w:type="dxa"/>
            </w:tcMar>
          </w:tcPr>
          <w:p>
            <w:pPr>
              <w:jc w:val="left"/>
            </w:pPr>
            <w:r>
              <w:rPr>
                <w:rFonts w:ascii="Aptos" w:hAnsi="Aptos"/>
                <w:sz w:val="19"/>
              </w:rPr>
              <w:t>Finance, marketing, budgets, analytics, forecasts and reports</w:t>
            </w:r>
          </w:p>
        </w:tc>
      </w:tr>
      <w:tr>
        <w:tc>
          <w:tcPr>
            <w:tcW w:type="dxa" w:w="1584"/>
            <w:tcMar>
              <w:top w:w="110" w:type="dxa"/>
              <w:start w:w="120" w:type="dxa"/>
              <w:bottom w:w="110" w:type="dxa"/>
              <w:end w:w="120" w:type="dxa"/>
            </w:tcMar>
            <w:shd w:fill="F4F7F5"/>
          </w:tcPr>
          <w:p>
            <w:pPr>
              <w:jc w:val="center"/>
            </w:pPr>
            <w:r>
              <w:rPr>
                <w:rFonts w:ascii="Aptos" w:hAnsi="Aptos"/>
                <w:sz w:val="19"/>
              </w:rPr>
              <w:t>Knowledge</w:t>
            </w:r>
          </w:p>
        </w:tc>
        <w:tc>
          <w:tcPr>
            <w:tcW w:type="dxa" w:w="2376"/>
            <w:tcMar>
              <w:top w:w="110" w:type="dxa"/>
              <w:start w:w="120" w:type="dxa"/>
              <w:bottom w:w="110" w:type="dxa"/>
              <w:end w:w="120" w:type="dxa"/>
            </w:tcMar>
            <w:shd w:fill="F4F7F5"/>
          </w:tcPr>
          <w:p>
            <w:pPr>
              <w:jc w:val="left"/>
            </w:pPr>
            <w:r>
              <w:rPr>
                <w:rFonts w:ascii="Aptos" w:hAnsi="Aptos"/>
                <w:sz w:val="19"/>
              </w:rPr>
              <w:t>Approved operating knowledge</w:t>
            </w:r>
          </w:p>
        </w:tc>
        <w:tc>
          <w:tcPr>
            <w:tcW w:type="dxa" w:w="5184"/>
            <w:tcMar>
              <w:top w:w="110" w:type="dxa"/>
              <w:start w:w="120" w:type="dxa"/>
              <w:bottom w:w="110" w:type="dxa"/>
              <w:end w:w="120" w:type="dxa"/>
            </w:tcMar>
            <w:shd w:fill="F4F7F5"/>
          </w:tcPr>
          <w:p>
            <w:pPr>
              <w:jc w:val="left"/>
            </w:pPr>
            <w:r>
              <w:rPr>
                <w:rFonts w:ascii="Aptos" w:hAnsi="Aptos"/>
                <w:sz w:val="19"/>
              </w:rPr>
              <w:t>Cocktails, recipes, SOPs, documents, equipment, videos and downloads</w:t>
            </w:r>
          </w:p>
        </w:tc>
      </w:tr>
      <w:tr>
        <w:tc>
          <w:tcPr>
            <w:tcW w:type="dxa" w:w="1584"/>
            <w:tcMar>
              <w:top w:w="110" w:type="dxa"/>
              <w:start w:w="120" w:type="dxa"/>
              <w:bottom w:w="110" w:type="dxa"/>
              <w:end w:w="120" w:type="dxa"/>
            </w:tcMar>
          </w:tcPr>
          <w:p>
            <w:pPr>
              <w:jc w:val="center"/>
            </w:pPr>
            <w:r>
              <w:rPr>
                <w:rFonts w:ascii="Aptos" w:hAnsi="Aptos"/>
                <w:sz w:val="19"/>
              </w:rPr>
              <w:t>AI</w:t>
            </w:r>
          </w:p>
        </w:tc>
        <w:tc>
          <w:tcPr>
            <w:tcW w:type="dxa" w:w="2376"/>
            <w:tcMar>
              <w:top w:w="110" w:type="dxa"/>
              <w:start w:w="120" w:type="dxa"/>
              <w:bottom w:w="110" w:type="dxa"/>
              <w:end w:w="120" w:type="dxa"/>
            </w:tcMar>
          </w:tcPr>
          <w:p>
            <w:pPr>
              <w:jc w:val="left"/>
            </w:pPr>
            <w:r>
              <w:rPr>
                <w:rFonts w:ascii="Aptos" w:hAnsi="Aptos"/>
                <w:sz w:val="19"/>
              </w:rPr>
              <w:t>Intelligence and automation</w:t>
            </w:r>
          </w:p>
        </w:tc>
        <w:tc>
          <w:tcPr>
            <w:tcW w:type="dxa" w:w="5184"/>
            <w:tcMar>
              <w:top w:w="110" w:type="dxa"/>
              <w:start w:w="120" w:type="dxa"/>
              <w:bottom w:w="110" w:type="dxa"/>
              <w:end w:w="120" w:type="dxa"/>
            </w:tcMar>
          </w:tcPr>
          <w:p>
            <w:pPr>
              <w:jc w:val="left"/>
            </w:pPr>
            <w:r>
              <w:rPr>
                <w:rFonts w:ascii="Aptos" w:hAnsi="Aptos"/>
                <w:sz w:val="19"/>
              </w:rPr>
              <w:t>Ask Paddy, AI Manager, predictions, voice, workflows, graph and digital twins</w:t>
            </w:r>
          </w:p>
        </w:tc>
      </w:tr>
      <w:tr>
        <w:tc>
          <w:tcPr>
            <w:tcW w:type="dxa" w:w="1584"/>
            <w:tcMar>
              <w:top w:w="110" w:type="dxa"/>
              <w:start w:w="120" w:type="dxa"/>
              <w:bottom w:w="110" w:type="dxa"/>
              <w:end w:w="120" w:type="dxa"/>
            </w:tcMar>
            <w:shd w:fill="F4F7F5"/>
          </w:tcPr>
          <w:p>
            <w:pPr>
              <w:jc w:val="center"/>
            </w:pPr>
            <w:r>
              <w:rPr>
                <w:rFonts w:ascii="Aptos" w:hAnsi="Aptos"/>
                <w:sz w:val="19"/>
              </w:rPr>
              <w:t>Enterprise</w:t>
            </w:r>
          </w:p>
        </w:tc>
        <w:tc>
          <w:tcPr>
            <w:tcW w:type="dxa" w:w="2376"/>
            <w:tcMar>
              <w:top w:w="110" w:type="dxa"/>
              <w:start w:w="120" w:type="dxa"/>
              <w:bottom w:w="110" w:type="dxa"/>
              <w:end w:w="120" w:type="dxa"/>
            </w:tcMar>
            <w:shd w:fill="F4F7F5"/>
          </w:tcPr>
          <w:p>
            <w:pPr>
              <w:jc w:val="left"/>
            </w:pPr>
            <w:r>
              <w:rPr>
                <w:rFonts w:ascii="Aptos" w:hAnsi="Aptos"/>
                <w:sz w:val="19"/>
              </w:rPr>
              <w:t>Network and scale</w:t>
            </w:r>
          </w:p>
        </w:tc>
        <w:tc>
          <w:tcPr>
            <w:tcW w:type="dxa" w:w="5184"/>
            <w:tcMar>
              <w:top w:w="110" w:type="dxa"/>
              <w:start w:w="120" w:type="dxa"/>
              <w:bottom w:w="110" w:type="dxa"/>
              <w:end w:w="120" w:type="dxa"/>
            </w:tcMar>
            <w:shd w:fill="F4F7F5"/>
          </w:tcPr>
          <w:p>
            <w:pPr>
              <w:jc w:val="left"/>
            </w:pPr>
            <w:r>
              <w:rPr>
                <w:rFonts w:ascii="Aptos" w:hAnsi="Aptos"/>
                <w:sz w:val="19"/>
              </w:rPr>
              <w:t>Multi-site, marketplace, community, benchmarking and global network</w:t>
            </w:r>
          </w:p>
        </w:tc>
      </w:tr>
    </w:tbl>
    <w:p>
      <w:pPr>
        <w:spacing w:after="40"/>
      </w:pPr>
    </w:p>
    <w:p>
      <w:pPr>
        <w:pStyle w:val="Heading2"/>
      </w:pPr>
      <w:r>
        <w:t>5.1 Progressive Disclosure</w:t>
      </w:r>
    </w:p>
    <w:p>
      <w:r>
        <w:t>Navigation should reveal detail only when required. Collapsed groups, role-based visibility, favorites, universal search and the command palette should reduce cognitive load.</w:t>
      </w:r>
    </w:p>
    <w:p>
      <w:pPr>
        <w:pStyle w:val="Heading2"/>
      </w:pPr>
      <w:r>
        <w:t>5.2 Role-Based Experience</w:t>
      </w:r>
    </w:p>
    <w:p>
      <w:pPr>
        <w:pStyle w:val="ListBullet"/>
        <w:spacing w:after="60"/>
      </w:pPr>
      <w:r>
        <w:rPr>
          <w:rFonts w:ascii="Aptos" w:hAnsi="Aptos"/>
          <w:sz w:val="21"/>
        </w:rPr>
        <w:t>Owners receive enterprise, finance, portfolio and strategic views.</w:t>
      </w:r>
    </w:p>
    <w:p>
      <w:pPr>
        <w:pStyle w:val="ListBullet"/>
        <w:spacing w:after="60"/>
      </w:pPr>
      <w:r>
        <w:rPr>
          <w:rFonts w:ascii="Aptos" w:hAnsi="Aptos"/>
          <w:sz w:val="21"/>
        </w:rPr>
        <w:t>General Managers receive daily readiness, approvals, actions and performance views.</w:t>
      </w:r>
    </w:p>
    <w:p>
      <w:pPr>
        <w:pStyle w:val="ListBullet"/>
        <w:spacing w:after="60"/>
      </w:pPr>
      <w:r>
        <w:rPr>
          <w:rFonts w:ascii="Aptos" w:hAnsi="Aptos"/>
          <w:sz w:val="21"/>
        </w:rPr>
        <w:t>Bartenders receive shift, beverage, cocktail, training and task views.</w:t>
      </w:r>
    </w:p>
    <w:p>
      <w:pPr>
        <w:pStyle w:val="ListBullet"/>
        <w:spacing w:after="60"/>
      </w:pPr>
      <w:r>
        <w:rPr>
          <w:rFonts w:ascii="Aptos" w:hAnsi="Aptos"/>
          <w:sz w:val="21"/>
        </w:rPr>
        <w:t>Kitchen employees receive prep, recipes, food safety, cleaning and equipment views.</w:t>
      </w:r>
    </w:p>
    <w:p>
      <w:pPr>
        <w:pStyle w:val="ListBullet"/>
        <w:spacing w:after="60"/>
      </w:pPr>
      <w:r>
        <w:rPr>
          <w:rFonts w:ascii="Aptos" w:hAnsi="Aptos"/>
          <w:sz w:val="21"/>
        </w:rPr>
        <w:t>Administrators receive configuration, governance, permissions and publication controls.</w:t>
      </w:r>
    </w:p>
    <w:p>
      <w:pPr>
        <w:pStyle w:val="Heading1"/>
      </w:pPr>
      <w:r>
        <w:t>6. Product Architecture</w:t>
      </w:r>
    </w:p>
    <w:p>
      <w:r>
        <w:t>Each EnterpriseOS product must be capable of standing on its own while remaining connected to the shared platform services.</w:t>
      </w:r>
    </w:p>
    <w:tbl>
      <w:tblPr>
        <w:tblStyle w:val="TableGrid"/>
        <w:tblW w:type="auto" w:w="0"/>
        <w:jc w:val="center"/>
        <w:tblLook w:firstColumn="1" w:firstRow="1" w:lastColumn="0" w:lastRow="0" w:noHBand="0" w:noVBand="1" w:val="04A0"/>
      </w:tblPr>
      <w:tblGrid>
        <w:gridCol w:w="4896"/>
        <w:gridCol w:w="4896"/>
      </w:tblGrid>
      <w:tr>
        <w:tc>
          <w:tcPr>
            <w:tcW w:type="dxa" w:w="2232"/>
            <w:shd w:fill="1F6B4F"/>
            <w:tcMar>
              <w:top w:w="120" w:type="dxa"/>
              <w:start w:w="120" w:type="dxa"/>
              <w:bottom w:w="120" w:type="dxa"/>
              <w:end w:w="120" w:type="dxa"/>
            </w:tcMar>
            <w:vAlign w:val="center"/>
          </w:tcPr>
          <w:p>
            <w:pPr>
              <w:jc w:val="center"/>
            </w:pPr>
            <w:r>
              <w:rPr>
                <w:rFonts w:ascii="Aptos" w:hAnsi="Aptos"/>
                <w:b/>
                <w:color w:val="FFFFFF"/>
                <w:sz w:val="19"/>
              </w:rPr>
              <w:t>Layer</w:t>
            </w:r>
          </w:p>
        </w:tc>
        <w:tc>
          <w:tcPr>
            <w:tcW w:type="dxa" w:w="6912"/>
            <w:shd w:fill="1F6B4F"/>
            <w:tcMar>
              <w:top w:w="120" w:type="dxa"/>
              <w:start w:w="120" w:type="dxa"/>
              <w:bottom w:w="120" w:type="dxa"/>
              <w:end w:w="120" w:type="dxa"/>
            </w:tcMar>
            <w:vAlign w:val="center"/>
          </w:tcPr>
          <w:p>
            <w:pPr>
              <w:jc w:val="center"/>
            </w:pPr>
            <w:r>
              <w:rPr>
                <w:rFonts w:ascii="Aptos" w:hAnsi="Aptos"/>
                <w:b/>
                <w:color w:val="FFFFFF"/>
                <w:sz w:val="19"/>
              </w:rPr>
              <w:t>Responsibilities</w:t>
            </w:r>
          </w:p>
        </w:tc>
      </w:tr>
      <w:tr>
        <w:tc>
          <w:tcPr>
            <w:tcW w:type="dxa" w:w="2232"/>
            <w:tcMar>
              <w:top w:w="110" w:type="dxa"/>
              <w:start w:w="120" w:type="dxa"/>
              <w:bottom w:w="110" w:type="dxa"/>
              <w:end w:w="120" w:type="dxa"/>
            </w:tcMar>
          </w:tcPr>
          <w:p>
            <w:pPr>
              <w:jc w:val="left"/>
            </w:pPr>
            <w:r>
              <w:rPr>
                <w:rFonts w:ascii="Aptos" w:hAnsi="Aptos"/>
                <w:sz w:val="19"/>
              </w:rPr>
              <w:t>Experience Layer</w:t>
            </w:r>
          </w:p>
        </w:tc>
        <w:tc>
          <w:tcPr>
            <w:tcW w:type="dxa" w:w="6912"/>
            <w:tcMar>
              <w:top w:w="110" w:type="dxa"/>
              <w:start w:w="120" w:type="dxa"/>
              <w:bottom w:w="110" w:type="dxa"/>
              <w:end w:w="120" w:type="dxa"/>
            </w:tcMar>
          </w:tcPr>
          <w:p>
            <w:pPr>
              <w:jc w:val="left"/>
            </w:pPr>
            <w:r>
              <w:rPr>
                <w:rFonts w:ascii="Aptos" w:hAnsi="Aptos"/>
                <w:sz w:val="19"/>
              </w:rPr>
              <w:t>Web, mobile, tablet, voice, dashboards, command palette and role-based navigation</w:t>
            </w:r>
          </w:p>
        </w:tc>
      </w:tr>
      <w:tr>
        <w:tc>
          <w:tcPr>
            <w:tcW w:type="dxa" w:w="2232"/>
            <w:tcMar>
              <w:top w:w="110" w:type="dxa"/>
              <w:start w:w="120" w:type="dxa"/>
              <w:bottom w:w="110" w:type="dxa"/>
              <w:end w:w="120" w:type="dxa"/>
            </w:tcMar>
            <w:shd w:fill="F4F7F5"/>
          </w:tcPr>
          <w:p>
            <w:pPr>
              <w:jc w:val="left"/>
            </w:pPr>
            <w:r>
              <w:rPr>
                <w:rFonts w:ascii="Aptos" w:hAnsi="Aptos"/>
                <w:sz w:val="19"/>
              </w:rPr>
              <w:t>Product Layer</w:t>
            </w:r>
          </w:p>
        </w:tc>
        <w:tc>
          <w:tcPr>
            <w:tcW w:type="dxa" w:w="6912"/>
            <w:tcMar>
              <w:top w:w="110" w:type="dxa"/>
              <w:start w:w="120" w:type="dxa"/>
              <w:bottom w:w="110" w:type="dxa"/>
              <w:end w:w="120" w:type="dxa"/>
            </w:tcMar>
            <w:shd w:fill="F4F7F5"/>
          </w:tcPr>
          <w:p>
            <w:pPr>
              <w:jc w:val="left"/>
            </w:pPr>
            <w:r>
              <w:rPr>
                <w:rFonts w:ascii="Aptos" w:hAnsi="Aptos"/>
                <w:sz w:val="19"/>
              </w:rPr>
              <w:t>BeverageOS, KitchenOS, InventoryOS, RestaurantOS, SupplierOS, AcademyOS, FinanceOS, WorkforceOS, MarketingOS and POSOS</w:t>
            </w:r>
          </w:p>
        </w:tc>
      </w:tr>
      <w:tr>
        <w:tc>
          <w:tcPr>
            <w:tcW w:type="dxa" w:w="2232"/>
            <w:tcMar>
              <w:top w:w="110" w:type="dxa"/>
              <w:start w:w="120" w:type="dxa"/>
              <w:bottom w:w="110" w:type="dxa"/>
              <w:end w:w="120" w:type="dxa"/>
            </w:tcMar>
          </w:tcPr>
          <w:p>
            <w:pPr>
              <w:jc w:val="left"/>
            </w:pPr>
            <w:r>
              <w:rPr>
                <w:rFonts w:ascii="Aptos" w:hAnsi="Aptos"/>
                <w:sz w:val="19"/>
              </w:rPr>
              <w:t>Intelligence Layer</w:t>
            </w:r>
          </w:p>
        </w:tc>
        <w:tc>
          <w:tcPr>
            <w:tcW w:type="dxa" w:w="6912"/>
            <w:tcMar>
              <w:top w:w="110" w:type="dxa"/>
              <w:start w:w="120" w:type="dxa"/>
              <w:bottom w:w="110" w:type="dxa"/>
              <w:end w:w="120" w:type="dxa"/>
            </w:tcMar>
          </w:tcPr>
          <w:p>
            <w:pPr>
              <w:jc w:val="left"/>
            </w:pPr>
            <w:r>
              <w:rPr>
                <w:rFonts w:ascii="Aptos" w:hAnsi="Aptos"/>
                <w:sz w:val="19"/>
              </w:rPr>
              <w:t>Ask Paddy, predictive intelligence, recommendations, automation and digital twins</w:t>
            </w:r>
          </w:p>
        </w:tc>
      </w:tr>
      <w:tr>
        <w:tc>
          <w:tcPr>
            <w:tcW w:type="dxa" w:w="2232"/>
            <w:tcMar>
              <w:top w:w="110" w:type="dxa"/>
              <w:start w:w="120" w:type="dxa"/>
              <w:bottom w:w="110" w:type="dxa"/>
              <w:end w:w="120" w:type="dxa"/>
            </w:tcMar>
            <w:shd w:fill="F4F7F5"/>
          </w:tcPr>
          <w:p>
            <w:pPr>
              <w:jc w:val="left"/>
            </w:pPr>
            <w:r>
              <w:rPr>
                <w:rFonts w:ascii="Aptos" w:hAnsi="Aptos"/>
                <w:sz w:val="19"/>
              </w:rPr>
              <w:t>Knowledge Layer</w:t>
            </w:r>
          </w:p>
        </w:tc>
        <w:tc>
          <w:tcPr>
            <w:tcW w:type="dxa" w:w="6912"/>
            <w:tcMar>
              <w:top w:w="110" w:type="dxa"/>
              <w:start w:w="120" w:type="dxa"/>
              <w:bottom w:w="110" w:type="dxa"/>
              <w:end w:w="120" w:type="dxa"/>
            </w:tcMar>
            <w:shd w:fill="F4F7F5"/>
          </w:tcPr>
          <w:p>
            <w:pPr>
              <w:jc w:val="left"/>
            </w:pPr>
            <w:r>
              <w:rPr>
                <w:rFonts w:ascii="Aptos" w:hAnsi="Aptos"/>
                <w:sz w:val="19"/>
              </w:rPr>
              <w:t>Content engine, Knowledge Centre, semantic search, Knowledge Graph and approved standards</w:t>
            </w:r>
          </w:p>
        </w:tc>
      </w:tr>
      <w:tr>
        <w:tc>
          <w:tcPr>
            <w:tcW w:type="dxa" w:w="2232"/>
            <w:tcMar>
              <w:top w:w="110" w:type="dxa"/>
              <w:start w:w="120" w:type="dxa"/>
              <w:bottom w:w="110" w:type="dxa"/>
              <w:end w:w="120" w:type="dxa"/>
            </w:tcMar>
          </w:tcPr>
          <w:p>
            <w:pPr>
              <w:jc w:val="left"/>
            </w:pPr>
            <w:r>
              <w:rPr>
                <w:rFonts w:ascii="Aptos" w:hAnsi="Aptos"/>
                <w:sz w:val="19"/>
              </w:rPr>
              <w:t>Platform Layer</w:t>
            </w:r>
          </w:p>
        </w:tc>
        <w:tc>
          <w:tcPr>
            <w:tcW w:type="dxa" w:w="6912"/>
            <w:tcMar>
              <w:top w:w="110" w:type="dxa"/>
              <w:start w:w="120" w:type="dxa"/>
              <w:bottom w:w="110" w:type="dxa"/>
              <w:end w:w="120" w:type="dxa"/>
            </w:tcMar>
          </w:tcPr>
          <w:p>
            <w:pPr>
              <w:jc w:val="left"/>
            </w:pPr>
            <w:r>
              <w:rPr>
                <w:rFonts w:ascii="Aptos" w:hAnsi="Aptos"/>
                <w:sz w:val="19"/>
              </w:rPr>
              <w:t>Identity, permissions, tenancy, audit, notifications, workflow, billing, files and APIs</w:t>
            </w:r>
          </w:p>
        </w:tc>
      </w:tr>
      <w:tr>
        <w:tc>
          <w:tcPr>
            <w:tcW w:type="dxa" w:w="2232"/>
            <w:tcMar>
              <w:top w:w="110" w:type="dxa"/>
              <w:start w:w="120" w:type="dxa"/>
              <w:bottom w:w="110" w:type="dxa"/>
              <w:end w:w="120" w:type="dxa"/>
            </w:tcMar>
            <w:shd w:fill="F4F7F5"/>
          </w:tcPr>
          <w:p>
            <w:pPr>
              <w:jc w:val="left"/>
            </w:pPr>
            <w:r>
              <w:rPr>
                <w:rFonts w:ascii="Aptos" w:hAnsi="Aptos"/>
                <w:sz w:val="19"/>
              </w:rPr>
              <w:t>Data &amp; Integration Layer</w:t>
            </w:r>
          </w:p>
        </w:tc>
        <w:tc>
          <w:tcPr>
            <w:tcW w:type="dxa" w:w="6912"/>
            <w:tcMar>
              <w:top w:w="110" w:type="dxa"/>
              <w:start w:w="120" w:type="dxa"/>
              <w:bottom w:w="110" w:type="dxa"/>
              <w:end w:w="120" w:type="dxa"/>
            </w:tcMar>
            <w:shd w:fill="F4F7F5"/>
          </w:tcPr>
          <w:p>
            <w:pPr>
              <w:jc w:val="left"/>
            </w:pPr>
            <w:r>
              <w:rPr>
                <w:rFonts w:ascii="Aptos" w:hAnsi="Aptos"/>
                <w:sz w:val="19"/>
              </w:rPr>
              <w:t>Operational data store, analytics, external connectors, POS, accounting, supplier, reservation and payment integrations</w:t>
            </w:r>
          </w:p>
        </w:tc>
      </w:tr>
    </w:tbl>
    <w:p>
      <w:pPr>
        <w:spacing w:after="40"/>
      </w:pPr>
    </w:p>
    <w:p>
      <w:pPr>
        <w:pStyle w:val="Heading1"/>
      </w:pPr>
      <w:r>
        <w:t>7. Enterprise Object Model</w:t>
      </w:r>
    </w:p>
    <w:p>
      <w:r>
        <w:t>Everything of lasting value within Irish Pub World should be represented as a governed Enterprise Object rather than as an isolated page or unstructured file.</w:t>
      </w:r>
    </w:p>
    <w:tbl>
      <w:tblPr>
        <w:tblStyle w:val="TableGrid"/>
        <w:tblW w:type="auto" w:w="0"/>
        <w:jc w:val="center"/>
        <w:tblLook w:firstColumn="1" w:firstRow="1" w:lastColumn="0" w:lastRow="0" w:noHBand="0" w:noVBand="1" w:val="04A0"/>
      </w:tblPr>
      <w:tblGrid>
        <w:gridCol w:w="4896"/>
        <w:gridCol w:w="4896"/>
      </w:tblGrid>
      <w:tr>
        <w:tc>
          <w:tcPr>
            <w:tcW w:type="dxa" w:w="2232"/>
            <w:shd w:fill="1F6B4F"/>
            <w:tcMar>
              <w:top w:w="120" w:type="dxa"/>
              <w:start w:w="120" w:type="dxa"/>
              <w:bottom w:w="120" w:type="dxa"/>
              <w:end w:w="120" w:type="dxa"/>
            </w:tcMar>
            <w:vAlign w:val="center"/>
          </w:tcPr>
          <w:p>
            <w:pPr>
              <w:jc w:val="center"/>
            </w:pPr>
            <w:r>
              <w:rPr>
                <w:rFonts w:ascii="Aptos" w:hAnsi="Aptos"/>
                <w:b/>
                <w:color w:val="FFFFFF"/>
                <w:sz w:val="19"/>
              </w:rPr>
              <w:t>Object Dimension</w:t>
            </w:r>
          </w:p>
        </w:tc>
        <w:tc>
          <w:tcPr>
            <w:tcW w:type="dxa" w:w="6912"/>
            <w:shd w:fill="1F6B4F"/>
            <w:tcMar>
              <w:top w:w="120" w:type="dxa"/>
              <w:start w:w="120" w:type="dxa"/>
              <w:bottom w:w="120" w:type="dxa"/>
              <w:end w:w="120" w:type="dxa"/>
            </w:tcMar>
            <w:vAlign w:val="center"/>
          </w:tcPr>
          <w:p>
            <w:pPr>
              <w:jc w:val="center"/>
            </w:pPr>
            <w:r>
              <w:rPr>
                <w:rFonts w:ascii="Aptos" w:hAnsi="Aptos"/>
                <w:b/>
                <w:color w:val="FFFFFF"/>
                <w:sz w:val="19"/>
              </w:rPr>
              <w:t>Required Characteristics</w:t>
            </w:r>
          </w:p>
        </w:tc>
      </w:tr>
      <w:tr>
        <w:tc>
          <w:tcPr>
            <w:tcW w:type="dxa" w:w="2232"/>
            <w:tcMar>
              <w:top w:w="110" w:type="dxa"/>
              <w:start w:w="120" w:type="dxa"/>
              <w:bottom w:w="110" w:type="dxa"/>
              <w:end w:w="120" w:type="dxa"/>
            </w:tcMar>
          </w:tcPr>
          <w:p>
            <w:pPr>
              <w:jc w:val="left"/>
            </w:pPr>
            <w:r>
              <w:rPr>
                <w:rFonts w:ascii="Aptos" w:hAnsi="Aptos"/>
                <w:sz w:val="19"/>
              </w:rPr>
              <w:t>Identity</w:t>
            </w:r>
          </w:p>
        </w:tc>
        <w:tc>
          <w:tcPr>
            <w:tcW w:type="dxa" w:w="6912"/>
            <w:tcMar>
              <w:top w:w="110" w:type="dxa"/>
              <w:start w:w="120" w:type="dxa"/>
              <w:bottom w:w="110" w:type="dxa"/>
              <w:end w:w="120" w:type="dxa"/>
            </w:tcMar>
          </w:tcPr>
          <w:p>
            <w:pPr>
              <w:jc w:val="left"/>
            </w:pPr>
            <w:r>
              <w:rPr>
                <w:rFonts w:ascii="Aptos" w:hAnsi="Aptos"/>
                <w:sz w:val="19"/>
              </w:rPr>
              <w:t>Permanent ID, title, type, status, owner, version and review date</w:t>
            </w:r>
          </w:p>
        </w:tc>
      </w:tr>
      <w:tr>
        <w:tc>
          <w:tcPr>
            <w:tcW w:type="dxa" w:w="2232"/>
            <w:tcMar>
              <w:top w:w="110" w:type="dxa"/>
              <w:start w:w="120" w:type="dxa"/>
              <w:bottom w:w="110" w:type="dxa"/>
              <w:end w:w="120" w:type="dxa"/>
            </w:tcMar>
            <w:shd w:fill="F4F7F5"/>
          </w:tcPr>
          <w:p>
            <w:pPr>
              <w:jc w:val="left"/>
            </w:pPr>
            <w:r>
              <w:rPr>
                <w:rFonts w:ascii="Aptos" w:hAnsi="Aptos"/>
                <w:sz w:val="19"/>
              </w:rPr>
              <w:t>Core Content</w:t>
            </w:r>
          </w:p>
        </w:tc>
        <w:tc>
          <w:tcPr>
            <w:tcW w:type="dxa" w:w="6912"/>
            <w:tcMar>
              <w:top w:w="110" w:type="dxa"/>
              <w:start w:w="120" w:type="dxa"/>
              <w:bottom w:w="110" w:type="dxa"/>
              <w:end w:w="120" w:type="dxa"/>
            </w:tcMar>
            <w:shd w:fill="F4F7F5"/>
          </w:tcPr>
          <w:p>
            <w:pPr>
              <w:jc w:val="left"/>
            </w:pPr>
            <w:r>
              <w:rPr>
                <w:rFonts w:ascii="Aptos" w:hAnsi="Aptos"/>
                <w:sz w:val="19"/>
              </w:rPr>
              <w:t>Description, purpose, structured fields and approved source information</w:t>
            </w:r>
          </w:p>
        </w:tc>
      </w:tr>
      <w:tr>
        <w:tc>
          <w:tcPr>
            <w:tcW w:type="dxa" w:w="2232"/>
            <w:tcMar>
              <w:top w:w="110" w:type="dxa"/>
              <w:start w:w="120" w:type="dxa"/>
              <w:bottom w:w="110" w:type="dxa"/>
              <w:end w:w="120" w:type="dxa"/>
            </w:tcMar>
          </w:tcPr>
          <w:p>
            <w:pPr>
              <w:jc w:val="left"/>
            </w:pPr>
            <w:r>
              <w:rPr>
                <w:rFonts w:ascii="Aptos" w:hAnsi="Aptos"/>
                <w:sz w:val="19"/>
              </w:rPr>
              <w:t>Operational Use</w:t>
            </w:r>
          </w:p>
        </w:tc>
        <w:tc>
          <w:tcPr>
            <w:tcW w:type="dxa" w:w="6912"/>
            <w:tcMar>
              <w:top w:w="110" w:type="dxa"/>
              <w:start w:w="120" w:type="dxa"/>
              <w:bottom w:w="110" w:type="dxa"/>
              <w:end w:w="120" w:type="dxa"/>
            </w:tcMar>
          </w:tcPr>
          <w:p>
            <w:pPr>
              <w:jc w:val="left"/>
            </w:pPr>
            <w:r>
              <w:rPr>
                <w:rFonts w:ascii="Aptos" w:hAnsi="Aptos"/>
                <w:sz w:val="19"/>
              </w:rPr>
              <w:t>Tasks, procedures, controls, records and linked workflows</w:t>
            </w:r>
          </w:p>
        </w:tc>
      </w:tr>
      <w:tr>
        <w:tc>
          <w:tcPr>
            <w:tcW w:type="dxa" w:w="2232"/>
            <w:tcMar>
              <w:top w:w="110" w:type="dxa"/>
              <w:start w:w="120" w:type="dxa"/>
              <w:bottom w:w="110" w:type="dxa"/>
              <w:end w:w="120" w:type="dxa"/>
            </w:tcMar>
            <w:shd w:fill="F4F7F5"/>
          </w:tcPr>
          <w:p>
            <w:pPr>
              <w:jc w:val="left"/>
            </w:pPr>
            <w:r>
              <w:rPr>
                <w:rFonts w:ascii="Aptos" w:hAnsi="Aptos"/>
                <w:sz w:val="19"/>
              </w:rPr>
              <w:t>Relationships</w:t>
            </w:r>
          </w:p>
        </w:tc>
        <w:tc>
          <w:tcPr>
            <w:tcW w:type="dxa" w:w="6912"/>
            <w:tcMar>
              <w:top w:w="110" w:type="dxa"/>
              <w:start w:w="120" w:type="dxa"/>
              <w:bottom w:w="110" w:type="dxa"/>
              <w:end w:w="120" w:type="dxa"/>
            </w:tcMar>
            <w:shd w:fill="F4F7F5"/>
          </w:tcPr>
          <w:p>
            <w:pPr>
              <w:jc w:val="left"/>
            </w:pPr>
            <w:r>
              <w:rPr>
                <w:rFonts w:ascii="Aptos" w:hAnsi="Aptos"/>
                <w:sz w:val="19"/>
              </w:rPr>
              <w:t>Connections to other objects with defined relationship types</w:t>
            </w:r>
          </w:p>
        </w:tc>
      </w:tr>
      <w:tr>
        <w:tc>
          <w:tcPr>
            <w:tcW w:type="dxa" w:w="2232"/>
            <w:tcMar>
              <w:top w:w="110" w:type="dxa"/>
              <w:start w:w="120" w:type="dxa"/>
              <w:bottom w:w="110" w:type="dxa"/>
              <w:end w:w="120" w:type="dxa"/>
            </w:tcMar>
          </w:tcPr>
          <w:p>
            <w:pPr>
              <w:jc w:val="left"/>
            </w:pPr>
            <w:r>
              <w:rPr>
                <w:rFonts w:ascii="Aptos" w:hAnsi="Aptos"/>
                <w:sz w:val="19"/>
              </w:rPr>
              <w:t>Permissions</w:t>
            </w:r>
          </w:p>
        </w:tc>
        <w:tc>
          <w:tcPr>
            <w:tcW w:type="dxa" w:w="6912"/>
            <w:tcMar>
              <w:top w:w="110" w:type="dxa"/>
              <w:start w:w="120" w:type="dxa"/>
              <w:bottom w:w="110" w:type="dxa"/>
              <w:end w:w="120" w:type="dxa"/>
            </w:tcMar>
          </w:tcPr>
          <w:p>
            <w:pPr>
              <w:jc w:val="left"/>
            </w:pPr>
            <w:r>
              <w:rPr>
                <w:rFonts w:ascii="Aptos" w:hAnsi="Aptos"/>
                <w:sz w:val="19"/>
              </w:rPr>
              <w:t>Who can view, edit, approve, publish, assign or execute</w:t>
            </w:r>
          </w:p>
        </w:tc>
      </w:tr>
      <w:tr>
        <w:tc>
          <w:tcPr>
            <w:tcW w:type="dxa" w:w="2232"/>
            <w:tcMar>
              <w:top w:w="110" w:type="dxa"/>
              <w:start w:w="120" w:type="dxa"/>
              <w:bottom w:w="110" w:type="dxa"/>
              <w:end w:w="120" w:type="dxa"/>
            </w:tcMar>
            <w:shd w:fill="F4F7F5"/>
          </w:tcPr>
          <w:p>
            <w:pPr>
              <w:jc w:val="left"/>
            </w:pPr>
            <w:r>
              <w:rPr>
                <w:rFonts w:ascii="Aptos" w:hAnsi="Aptos"/>
                <w:sz w:val="19"/>
              </w:rPr>
              <w:t>Governance</w:t>
            </w:r>
          </w:p>
        </w:tc>
        <w:tc>
          <w:tcPr>
            <w:tcW w:type="dxa" w:w="6912"/>
            <w:tcMar>
              <w:top w:w="110" w:type="dxa"/>
              <w:start w:w="120" w:type="dxa"/>
              <w:bottom w:w="110" w:type="dxa"/>
              <w:end w:w="120" w:type="dxa"/>
            </w:tcMar>
            <w:shd w:fill="F4F7F5"/>
          </w:tcPr>
          <w:p>
            <w:pPr>
              <w:jc w:val="left"/>
            </w:pPr>
            <w:r>
              <w:rPr>
                <w:rFonts w:ascii="Aptos" w:hAnsi="Aptos"/>
                <w:sz w:val="19"/>
              </w:rPr>
              <w:t>Draft, review, approval, publication, archive and supersession history</w:t>
            </w:r>
          </w:p>
        </w:tc>
      </w:tr>
      <w:tr>
        <w:tc>
          <w:tcPr>
            <w:tcW w:type="dxa" w:w="2232"/>
            <w:tcMar>
              <w:top w:w="110" w:type="dxa"/>
              <w:start w:w="120" w:type="dxa"/>
              <w:bottom w:w="110" w:type="dxa"/>
              <w:end w:w="120" w:type="dxa"/>
            </w:tcMar>
          </w:tcPr>
          <w:p>
            <w:pPr>
              <w:jc w:val="left"/>
            </w:pPr>
            <w:r>
              <w:rPr>
                <w:rFonts w:ascii="Aptos" w:hAnsi="Aptos"/>
                <w:sz w:val="19"/>
              </w:rPr>
              <w:t>Intelligence</w:t>
            </w:r>
          </w:p>
        </w:tc>
        <w:tc>
          <w:tcPr>
            <w:tcW w:type="dxa" w:w="6912"/>
            <w:tcMar>
              <w:top w:w="110" w:type="dxa"/>
              <w:start w:w="120" w:type="dxa"/>
              <w:bottom w:w="110" w:type="dxa"/>
              <w:end w:w="120" w:type="dxa"/>
            </w:tcMar>
          </w:tcPr>
          <w:p>
            <w:pPr>
              <w:jc w:val="left"/>
            </w:pPr>
            <w:r>
              <w:rPr>
                <w:rFonts w:ascii="Aptos" w:hAnsi="Aptos"/>
                <w:sz w:val="19"/>
              </w:rPr>
              <w:t>Search metadata, AI context, confidence rules, recommendations and analytics</w:t>
            </w:r>
          </w:p>
        </w:tc>
      </w:tr>
      <w:tr>
        <w:tc>
          <w:tcPr>
            <w:tcW w:type="dxa" w:w="2232"/>
            <w:tcMar>
              <w:top w:w="110" w:type="dxa"/>
              <w:start w:w="120" w:type="dxa"/>
              <w:bottom w:w="110" w:type="dxa"/>
              <w:end w:w="120" w:type="dxa"/>
            </w:tcMar>
            <w:shd w:fill="F4F7F5"/>
          </w:tcPr>
          <w:p>
            <w:pPr>
              <w:jc w:val="left"/>
            </w:pPr>
            <w:r>
              <w:rPr>
                <w:rFonts w:ascii="Aptos" w:hAnsi="Aptos"/>
                <w:sz w:val="19"/>
              </w:rPr>
              <w:t>Outputs</w:t>
            </w:r>
          </w:p>
        </w:tc>
        <w:tc>
          <w:tcPr>
            <w:tcW w:type="dxa" w:w="6912"/>
            <w:tcMar>
              <w:top w:w="110" w:type="dxa"/>
              <w:start w:w="120" w:type="dxa"/>
              <w:bottom w:w="110" w:type="dxa"/>
              <w:end w:w="120" w:type="dxa"/>
            </w:tcMar>
            <w:shd w:fill="F4F7F5"/>
          </w:tcPr>
          <w:p>
            <w:pPr>
              <w:jc w:val="left"/>
            </w:pPr>
            <w:r>
              <w:rPr>
                <w:rFonts w:ascii="Aptos" w:hAnsi="Aptos"/>
                <w:sz w:val="19"/>
              </w:rPr>
              <w:t>Cards, pages, downloads, training, POS records, menus, marketing and reports</w:t>
            </w:r>
          </w:p>
        </w:tc>
      </w:tr>
    </w:tbl>
    <w:p>
      <w:pPr>
        <w:spacing w:after="40"/>
      </w:pPr>
    </w:p>
    <w:tbl>
      <w:tblPr>
        <w:tblW w:type="auto" w:w="0"/>
        <w:jc w:val="center"/>
        <w:tblLayout w:type="fixed"/>
        <w:tblLook w:firstColumn="1" w:firstRow="1" w:lastColumn="0" w:lastRow="0" w:noHBand="0" w:noVBand="1" w:val="04A0"/>
      </w:tblPr>
      <w:tblGrid>
        <w:gridCol w:w="9792"/>
      </w:tblGrid>
      <w:tr>
        <w:tc>
          <w:tcPr>
            <w:tcW w:type="dxa" w:w="9144"/>
            <w:shd w:fill="EAF5EF"/>
            <w:tcMar>
              <w:top w:w="180" w:type="dxa"/>
              <w:start w:w="220" w:type="dxa"/>
              <w:bottom w:w="180" w:type="dxa"/>
              <w:end w:w="220" w:type="dxa"/>
            </w:tcMar>
            <w:tcBorders>
              <w:top w:val="single" w:sz="8" w:color="1F6B4F"/>
              <w:left w:val="single" w:sz="8" w:color="1F6B4F"/>
              <w:bottom w:val="single" w:sz="8" w:color="1F6B4F"/>
              <w:right w:val="single" w:sz="8" w:color="1F6B4F"/>
            </w:tcBorders>
          </w:tcPr>
          <w:p>
            <w:r>
              <w:rPr>
                <w:rFonts w:ascii="Aptos" w:hAnsi="Aptos"/>
                <w:b/>
                <w:color w:val="1F6B4F"/>
                <w:sz w:val="22"/>
              </w:rPr>
              <w:t>Example — Guinness</w:t>
              <w:br/>
            </w:r>
            <w:r>
              <w:rPr>
                <w:rFonts w:ascii="Aptos" w:hAnsi="Aptos"/>
                <w:b w:val="0"/>
                <w:color w:val="24302A"/>
                <w:sz w:val="21"/>
              </w:rPr>
              <w:t>A Guinness master object may connect to suppliers, purchase orders, inventory, Perfect Pour training, cellar equipment, cleaning SOPs, glassware, recipes, cocktails, pricing, marketing campaigns, Academy lessons, staff competencies and sales analytics.</w:t>
            </w:r>
          </w:p>
        </w:tc>
      </w:tr>
    </w:tbl>
    <w:p>
      <w:pPr>
        <w:spacing w:after="40"/>
      </w:pPr>
    </w:p>
    <w:p>
      <w:pPr>
        <w:pStyle w:val="Heading1"/>
      </w:pPr>
      <w:r>
        <w:t>8. Knowledge-First Strategy</w:t>
      </w:r>
    </w:p>
    <w:p>
      <w:r>
        <w:t>Irish Pub World will treat structured hospitality knowledge as long-term intellectual property. The content programme must be governed with the same seriousness as software engineering.</w:t>
      </w:r>
    </w:p>
    <w:tbl>
      <w:tblPr>
        <w:tblStyle w:val="TableGrid"/>
        <w:tblW w:type="auto" w:w="0"/>
        <w:jc w:val="center"/>
        <w:tblLook w:firstColumn="1" w:firstRow="1" w:lastColumn="0" w:lastRow="0" w:noHBand="0" w:noVBand="1" w:val="04A0"/>
      </w:tblPr>
      <w:tblGrid>
        <w:gridCol w:w="3264"/>
        <w:gridCol w:w="3264"/>
        <w:gridCol w:w="3264"/>
      </w:tblGrid>
      <w:tr>
        <w:tc>
          <w:tcPr>
            <w:tcW w:type="dxa" w:w="2448"/>
            <w:shd w:fill="1F6B4F"/>
            <w:tcMar>
              <w:top w:w="120" w:type="dxa"/>
              <w:start w:w="120" w:type="dxa"/>
              <w:bottom w:w="120" w:type="dxa"/>
              <w:end w:w="120" w:type="dxa"/>
            </w:tcMar>
            <w:vAlign w:val="center"/>
          </w:tcPr>
          <w:p>
            <w:pPr>
              <w:jc w:val="center"/>
            </w:pPr>
            <w:r>
              <w:rPr>
                <w:rFonts w:ascii="Aptos" w:hAnsi="Aptos"/>
                <w:b/>
                <w:color w:val="FFFFFF"/>
                <w:sz w:val="19"/>
              </w:rPr>
              <w:t>Collection</w:t>
            </w:r>
          </w:p>
        </w:tc>
        <w:tc>
          <w:tcPr>
            <w:tcW w:type="dxa" w:w="1800"/>
            <w:shd w:fill="1F6B4F"/>
            <w:tcMar>
              <w:top w:w="120" w:type="dxa"/>
              <w:start w:w="120" w:type="dxa"/>
              <w:bottom w:w="120" w:type="dxa"/>
              <w:end w:w="120" w:type="dxa"/>
            </w:tcMar>
            <w:vAlign w:val="center"/>
          </w:tcPr>
          <w:p>
            <w:pPr>
              <w:jc w:val="center"/>
            </w:pPr>
            <w:r>
              <w:rPr>
                <w:rFonts w:ascii="Aptos" w:hAnsi="Aptos"/>
                <w:b/>
                <w:color w:val="FFFFFF"/>
                <w:sz w:val="19"/>
              </w:rPr>
              <w:t>Long-Term Target</w:t>
            </w:r>
          </w:p>
        </w:tc>
        <w:tc>
          <w:tcPr>
            <w:tcW w:type="dxa" w:w="4896"/>
            <w:shd w:fill="1F6B4F"/>
            <w:tcMar>
              <w:top w:w="120" w:type="dxa"/>
              <w:start w:w="120" w:type="dxa"/>
              <w:bottom w:w="120" w:type="dxa"/>
              <w:end w:w="120" w:type="dxa"/>
            </w:tcMar>
            <w:vAlign w:val="center"/>
          </w:tcPr>
          <w:p>
            <w:pPr>
              <w:jc w:val="center"/>
            </w:pPr>
            <w:r>
              <w:rPr>
                <w:rFonts w:ascii="Aptos" w:hAnsi="Aptos"/>
                <w:b/>
                <w:color w:val="FFFFFF"/>
                <w:sz w:val="19"/>
              </w:rPr>
              <w:t>Strategic Purpose</w:t>
            </w:r>
          </w:p>
        </w:tc>
      </w:tr>
      <w:tr>
        <w:tc>
          <w:tcPr>
            <w:tcW w:type="dxa" w:w="2448"/>
            <w:tcMar>
              <w:top w:w="110" w:type="dxa"/>
              <w:start w:w="120" w:type="dxa"/>
              <w:bottom w:w="110" w:type="dxa"/>
              <w:end w:w="120" w:type="dxa"/>
            </w:tcMar>
          </w:tcPr>
          <w:p>
            <w:pPr>
              <w:jc w:val="center"/>
            </w:pPr>
            <w:r>
              <w:rPr>
                <w:rFonts w:ascii="Aptos" w:hAnsi="Aptos"/>
                <w:sz w:val="19"/>
              </w:rPr>
              <w:t>Cocktail Standards</w:t>
            </w:r>
          </w:p>
        </w:tc>
        <w:tc>
          <w:tcPr>
            <w:tcW w:type="dxa" w:w="1800"/>
            <w:tcMar>
              <w:top w:w="110" w:type="dxa"/>
              <w:start w:w="120" w:type="dxa"/>
              <w:bottom w:w="110" w:type="dxa"/>
              <w:end w:w="120" w:type="dxa"/>
            </w:tcMar>
          </w:tcPr>
          <w:p>
            <w:pPr>
              <w:jc w:val="left"/>
            </w:pPr>
            <w:r>
              <w:rPr>
                <w:rFonts w:ascii="Aptos" w:hAnsi="Aptos"/>
                <w:sz w:val="19"/>
              </w:rPr>
              <w:t>1,000</w:t>
            </w:r>
          </w:p>
        </w:tc>
        <w:tc>
          <w:tcPr>
            <w:tcW w:type="dxa" w:w="4896"/>
            <w:tcMar>
              <w:top w:w="110" w:type="dxa"/>
              <w:start w:w="120" w:type="dxa"/>
              <w:bottom w:w="110" w:type="dxa"/>
              <w:end w:w="120" w:type="dxa"/>
            </w:tcMar>
          </w:tcPr>
          <w:p>
            <w:pPr>
              <w:jc w:val="left"/>
            </w:pPr>
            <w:r>
              <w:rPr>
                <w:rFonts w:ascii="Aptos" w:hAnsi="Aptos"/>
                <w:sz w:val="19"/>
              </w:rPr>
              <w:t>Complete beverage standards, training, costing and marketing</w:t>
            </w:r>
          </w:p>
        </w:tc>
      </w:tr>
      <w:tr>
        <w:tc>
          <w:tcPr>
            <w:tcW w:type="dxa" w:w="2448"/>
            <w:tcMar>
              <w:top w:w="110" w:type="dxa"/>
              <w:start w:w="120" w:type="dxa"/>
              <w:bottom w:w="110" w:type="dxa"/>
              <w:end w:w="120" w:type="dxa"/>
            </w:tcMar>
            <w:shd w:fill="F4F7F5"/>
          </w:tcPr>
          <w:p>
            <w:pPr>
              <w:jc w:val="center"/>
            </w:pPr>
            <w:r>
              <w:rPr>
                <w:rFonts w:ascii="Aptos" w:hAnsi="Aptos"/>
                <w:sz w:val="19"/>
              </w:rPr>
              <w:t>Food Standards</w:t>
            </w:r>
          </w:p>
        </w:tc>
        <w:tc>
          <w:tcPr>
            <w:tcW w:type="dxa" w:w="1800"/>
            <w:tcMar>
              <w:top w:w="110" w:type="dxa"/>
              <w:start w:w="120" w:type="dxa"/>
              <w:bottom w:w="110" w:type="dxa"/>
              <w:end w:w="120" w:type="dxa"/>
            </w:tcMar>
            <w:shd w:fill="F4F7F5"/>
          </w:tcPr>
          <w:p>
            <w:pPr>
              <w:jc w:val="left"/>
            </w:pPr>
            <w:r>
              <w:rPr>
                <w:rFonts w:ascii="Aptos" w:hAnsi="Aptos"/>
                <w:sz w:val="19"/>
              </w:rPr>
              <w:t>10,000</w:t>
            </w:r>
          </w:p>
        </w:tc>
        <w:tc>
          <w:tcPr>
            <w:tcW w:type="dxa" w:w="4896"/>
            <w:tcMar>
              <w:top w:w="110" w:type="dxa"/>
              <w:start w:w="120" w:type="dxa"/>
              <w:bottom w:w="110" w:type="dxa"/>
              <w:end w:w="120" w:type="dxa"/>
            </w:tcMar>
            <w:shd w:fill="F4F7F5"/>
          </w:tcPr>
          <w:p>
            <w:pPr>
              <w:jc w:val="left"/>
            </w:pPr>
            <w:r>
              <w:rPr>
                <w:rFonts w:ascii="Aptos" w:hAnsi="Aptos"/>
                <w:sz w:val="19"/>
              </w:rPr>
              <w:t>Professional culinary standards linked to safety, costing and inventory</w:t>
            </w:r>
          </w:p>
        </w:tc>
      </w:tr>
      <w:tr>
        <w:tc>
          <w:tcPr>
            <w:tcW w:type="dxa" w:w="2448"/>
            <w:tcMar>
              <w:top w:w="110" w:type="dxa"/>
              <w:start w:w="120" w:type="dxa"/>
              <w:bottom w:w="110" w:type="dxa"/>
              <w:end w:w="120" w:type="dxa"/>
            </w:tcMar>
          </w:tcPr>
          <w:p>
            <w:pPr>
              <w:jc w:val="center"/>
            </w:pPr>
            <w:r>
              <w:rPr>
                <w:rFonts w:ascii="Aptos" w:hAnsi="Aptos"/>
                <w:sz w:val="19"/>
              </w:rPr>
              <w:t>Beverage Profiles</w:t>
            </w:r>
          </w:p>
        </w:tc>
        <w:tc>
          <w:tcPr>
            <w:tcW w:type="dxa" w:w="1800"/>
            <w:tcMar>
              <w:top w:w="110" w:type="dxa"/>
              <w:start w:w="120" w:type="dxa"/>
              <w:bottom w:w="110" w:type="dxa"/>
              <w:end w:w="120" w:type="dxa"/>
            </w:tcMar>
          </w:tcPr>
          <w:p>
            <w:pPr>
              <w:jc w:val="left"/>
            </w:pPr>
            <w:r>
              <w:rPr>
                <w:rFonts w:ascii="Aptos" w:hAnsi="Aptos"/>
                <w:sz w:val="19"/>
              </w:rPr>
              <w:t>5,000</w:t>
            </w:r>
          </w:p>
        </w:tc>
        <w:tc>
          <w:tcPr>
            <w:tcW w:type="dxa" w:w="4896"/>
            <w:tcMar>
              <w:top w:w="110" w:type="dxa"/>
              <w:start w:w="120" w:type="dxa"/>
              <w:bottom w:w="110" w:type="dxa"/>
              <w:end w:w="120" w:type="dxa"/>
            </w:tcMar>
          </w:tcPr>
          <w:p>
            <w:pPr>
              <w:jc w:val="left"/>
            </w:pPr>
            <w:r>
              <w:rPr>
                <w:rFonts w:ascii="Aptos" w:hAnsi="Aptos"/>
                <w:sz w:val="19"/>
              </w:rPr>
              <w:t>Beer, whiskey, spirits, wine, coffee, tea and soft drinks</w:t>
            </w:r>
          </w:p>
        </w:tc>
      </w:tr>
      <w:tr>
        <w:tc>
          <w:tcPr>
            <w:tcW w:type="dxa" w:w="2448"/>
            <w:tcMar>
              <w:top w:w="110" w:type="dxa"/>
              <w:start w:w="120" w:type="dxa"/>
              <w:bottom w:w="110" w:type="dxa"/>
              <w:end w:w="120" w:type="dxa"/>
            </w:tcMar>
            <w:shd w:fill="F4F7F5"/>
          </w:tcPr>
          <w:p>
            <w:pPr>
              <w:jc w:val="center"/>
            </w:pPr>
            <w:r>
              <w:rPr>
                <w:rFonts w:ascii="Aptos" w:hAnsi="Aptos"/>
                <w:sz w:val="19"/>
              </w:rPr>
              <w:t>SOPs</w:t>
            </w:r>
          </w:p>
        </w:tc>
        <w:tc>
          <w:tcPr>
            <w:tcW w:type="dxa" w:w="1800"/>
            <w:tcMar>
              <w:top w:w="110" w:type="dxa"/>
              <w:start w:w="120" w:type="dxa"/>
              <w:bottom w:w="110" w:type="dxa"/>
              <w:end w:w="120" w:type="dxa"/>
            </w:tcMar>
            <w:shd w:fill="F4F7F5"/>
          </w:tcPr>
          <w:p>
            <w:pPr>
              <w:jc w:val="left"/>
            </w:pPr>
            <w:r>
              <w:rPr>
                <w:rFonts w:ascii="Aptos" w:hAnsi="Aptos"/>
                <w:sz w:val="19"/>
              </w:rPr>
              <w:t>750+</w:t>
            </w:r>
          </w:p>
        </w:tc>
        <w:tc>
          <w:tcPr>
            <w:tcW w:type="dxa" w:w="4896"/>
            <w:tcMar>
              <w:top w:w="110" w:type="dxa"/>
              <w:start w:w="120" w:type="dxa"/>
              <w:bottom w:w="110" w:type="dxa"/>
              <w:end w:w="120" w:type="dxa"/>
            </w:tcMar>
            <w:shd w:fill="F4F7F5"/>
          </w:tcPr>
          <w:p>
            <w:pPr>
              <w:jc w:val="left"/>
            </w:pPr>
            <w:r>
              <w:rPr>
                <w:rFonts w:ascii="Aptos" w:hAnsi="Aptos"/>
                <w:sz w:val="19"/>
              </w:rPr>
              <w:t>Consistent operating procedures across every pub department</w:t>
            </w:r>
          </w:p>
        </w:tc>
      </w:tr>
      <w:tr>
        <w:tc>
          <w:tcPr>
            <w:tcW w:type="dxa" w:w="2448"/>
            <w:tcMar>
              <w:top w:w="110" w:type="dxa"/>
              <w:start w:w="120" w:type="dxa"/>
              <w:bottom w:w="110" w:type="dxa"/>
              <w:end w:w="120" w:type="dxa"/>
            </w:tcMar>
          </w:tcPr>
          <w:p>
            <w:pPr>
              <w:jc w:val="center"/>
            </w:pPr>
            <w:r>
              <w:rPr>
                <w:rFonts w:ascii="Aptos" w:hAnsi="Aptos"/>
                <w:sz w:val="19"/>
              </w:rPr>
              <w:t>Checklists</w:t>
            </w:r>
          </w:p>
        </w:tc>
        <w:tc>
          <w:tcPr>
            <w:tcW w:type="dxa" w:w="1800"/>
            <w:tcMar>
              <w:top w:w="110" w:type="dxa"/>
              <w:start w:w="120" w:type="dxa"/>
              <w:bottom w:w="110" w:type="dxa"/>
              <w:end w:w="120" w:type="dxa"/>
            </w:tcMar>
          </w:tcPr>
          <w:p>
            <w:pPr>
              <w:jc w:val="left"/>
            </w:pPr>
            <w:r>
              <w:rPr>
                <w:rFonts w:ascii="Aptos" w:hAnsi="Aptos"/>
                <w:sz w:val="19"/>
              </w:rPr>
              <w:t>500+</w:t>
            </w:r>
          </w:p>
        </w:tc>
        <w:tc>
          <w:tcPr>
            <w:tcW w:type="dxa" w:w="4896"/>
            <w:tcMar>
              <w:top w:w="110" w:type="dxa"/>
              <w:start w:w="120" w:type="dxa"/>
              <w:bottom w:w="110" w:type="dxa"/>
              <w:end w:w="120" w:type="dxa"/>
            </w:tcMar>
          </w:tcPr>
          <w:p>
            <w:pPr>
              <w:jc w:val="left"/>
            </w:pPr>
            <w:r>
              <w:rPr>
                <w:rFonts w:ascii="Aptos" w:hAnsi="Aptos"/>
                <w:sz w:val="19"/>
              </w:rPr>
              <w:t>Interactive execution and verification records</w:t>
            </w:r>
          </w:p>
        </w:tc>
      </w:tr>
      <w:tr>
        <w:tc>
          <w:tcPr>
            <w:tcW w:type="dxa" w:w="2448"/>
            <w:tcMar>
              <w:top w:w="110" w:type="dxa"/>
              <w:start w:w="120" w:type="dxa"/>
              <w:bottom w:w="110" w:type="dxa"/>
              <w:end w:w="120" w:type="dxa"/>
            </w:tcMar>
            <w:shd w:fill="F4F7F5"/>
          </w:tcPr>
          <w:p>
            <w:pPr>
              <w:jc w:val="center"/>
            </w:pPr>
            <w:r>
              <w:rPr>
                <w:rFonts w:ascii="Aptos" w:hAnsi="Aptos"/>
                <w:sz w:val="19"/>
              </w:rPr>
              <w:t>Registers</w:t>
            </w:r>
          </w:p>
        </w:tc>
        <w:tc>
          <w:tcPr>
            <w:tcW w:type="dxa" w:w="1800"/>
            <w:tcMar>
              <w:top w:w="110" w:type="dxa"/>
              <w:start w:w="120" w:type="dxa"/>
              <w:bottom w:w="110" w:type="dxa"/>
              <w:end w:w="120" w:type="dxa"/>
            </w:tcMar>
            <w:shd w:fill="F4F7F5"/>
          </w:tcPr>
          <w:p>
            <w:pPr>
              <w:jc w:val="left"/>
            </w:pPr>
            <w:r>
              <w:rPr>
                <w:rFonts w:ascii="Aptos" w:hAnsi="Aptos"/>
                <w:sz w:val="19"/>
              </w:rPr>
              <w:t>300+</w:t>
            </w:r>
          </w:p>
        </w:tc>
        <w:tc>
          <w:tcPr>
            <w:tcW w:type="dxa" w:w="4896"/>
            <w:tcMar>
              <w:top w:w="110" w:type="dxa"/>
              <w:start w:w="120" w:type="dxa"/>
              <w:bottom w:w="110" w:type="dxa"/>
              <w:end w:w="120" w:type="dxa"/>
            </w:tcMar>
            <w:shd w:fill="F4F7F5"/>
          </w:tcPr>
          <w:p>
            <w:pPr>
              <w:jc w:val="left"/>
            </w:pPr>
            <w:r>
              <w:rPr>
                <w:rFonts w:ascii="Aptos" w:hAnsi="Aptos"/>
                <w:sz w:val="19"/>
              </w:rPr>
              <w:t>Traceable compliance and operational records</w:t>
            </w:r>
          </w:p>
        </w:tc>
      </w:tr>
      <w:tr>
        <w:tc>
          <w:tcPr>
            <w:tcW w:type="dxa" w:w="2448"/>
            <w:tcMar>
              <w:top w:w="110" w:type="dxa"/>
              <w:start w:w="120" w:type="dxa"/>
              <w:bottom w:w="110" w:type="dxa"/>
              <w:end w:w="120" w:type="dxa"/>
            </w:tcMar>
          </w:tcPr>
          <w:p>
            <w:pPr>
              <w:jc w:val="center"/>
            </w:pPr>
            <w:r>
              <w:rPr>
                <w:rFonts w:ascii="Aptos" w:hAnsi="Aptos"/>
                <w:sz w:val="19"/>
              </w:rPr>
              <w:t>Equipment Standards</w:t>
            </w:r>
          </w:p>
        </w:tc>
        <w:tc>
          <w:tcPr>
            <w:tcW w:type="dxa" w:w="1800"/>
            <w:tcMar>
              <w:top w:w="110" w:type="dxa"/>
              <w:start w:w="120" w:type="dxa"/>
              <w:bottom w:w="110" w:type="dxa"/>
              <w:end w:w="120" w:type="dxa"/>
            </w:tcMar>
          </w:tcPr>
          <w:p>
            <w:pPr>
              <w:jc w:val="left"/>
            </w:pPr>
            <w:r>
              <w:rPr>
                <w:rFonts w:ascii="Aptos" w:hAnsi="Aptos"/>
                <w:sz w:val="19"/>
              </w:rPr>
              <w:t>1,000</w:t>
            </w:r>
          </w:p>
        </w:tc>
        <w:tc>
          <w:tcPr>
            <w:tcW w:type="dxa" w:w="4896"/>
            <w:tcMar>
              <w:top w:w="110" w:type="dxa"/>
              <w:start w:w="120" w:type="dxa"/>
              <w:bottom w:w="110" w:type="dxa"/>
              <w:end w:w="120" w:type="dxa"/>
            </w:tcMar>
          </w:tcPr>
          <w:p>
            <w:pPr>
              <w:jc w:val="left"/>
            </w:pPr>
            <w:r>
              <w:rPr>
                <w:rFonts w:ascii="Aptos" w:hAnsi="Aptos"/>
                <w:sz w:val="19"/>
              </w:rPr>
              <w:t>Cleaning, maintenance, training, manuals and service history</w:t>
            </w:r>
          </w:p>
        </w:tc>
      </w:tr>
      <w:tr>
        <w:tc>
          <w:tcPr>
            <w:tcW w:type="dxa" w:w="2448"/>
            <w:tcMar>
              <w:top w:w="110" w:type="dxa"/>
              <w:start w:w="120" w:type="dxa"/>
              <w:bottom w:w="110" w:type="dxa"/>
              <w:end w:w="120" w:type="dxa"/>
            </w:tcMar>
            <w:shd w:fill="F4F7F5"/>
          </w:tcPr>
          <w:p>
            <w:pPr>
              <w:jc w:val="center"/>
            </w:pPr>
            <w:r>
              <w:rPr>
                <w:rFonts w:ascii="Aptos" w:hAnsi="Aptos"/>
                <w:sz w:val="19"/>
              </w:rPr>
              <w:t>Academy Learning Objects</w:t>
            </w:r>
          </w:p>
        </w:tc>
        <w:tc>
          <w:tcPr>
            <w:tcW w:type="dxa" w:w="1800"/>
            <w:tcMar>
              <w:top w:w="110" w:type="dxa"/>
              <w:start w:w="120" w:type="dxa"/>
              <w:bottom w:w="110" w:type="dxa"/>
              <w:end w:w="120" w:type="dxa"/>
            </w:tcMar>
            <w:shd w:fill="F4F7F5"/>
          </w:tcPr>
          <w:p>
            <w:pPr>
              <w:jc w:val="left"/>
            </w:pPr>
            <w:r>
              <w:rPr>
                <w:rFonts w:ascii="Aptos" w:hAnsi="Aptos"/>
                <w:sz w:val="19"/>
              </w:rPr>
              <w:t>5,000+</w:t>
            </w:r>
          </w:p>
        </w:tc>
        <w:tc>
          <w:tcPr>
            <w:tcW w:type="dxa" w:w="4896"/>
            <w:tcMar>
              <w:top w:w="110" w:type="dxa"/>
              <w:start w:w="120" w:type="dxa"/>
              <w:bottom w:w="110" w:type="dxa"/>
              <w:end w:w="120" w:type="dxa"/>
            </w:tcMar>
            <w:shd w:fill="F4F7F5"/>
          </w:tcPr>
          <w:p>
            <w:pPr>
              <w:jc w:val="left"/>
            </w:pPr>
            <w:r>
              <w:rPr>
                <w:rFonts w:ascii="Aptos" w:hAnsi="Aptos"/>
                <w:sz w:val="19"/>
              </w:rPr>
              <w:t>Courses, lessons, quizzes, assessments and competencies</w:t>
            </w:r>
          </w:p>
        </w:tc>
      </w:tr>
      <w:tr>
        <w:tc>
          <w:tcPr>
            <w:tcW w:type="dxa" w:w="2448"/>
            <w:tcMar>
              <w:top w:w="110" w:type="dxa"/>
              <w:start w:w="120" w:type="dxa"/>
              <w:bottom w:w="110" w:type="dxa"/>
              <w:end w:w="120" w:type="dxa"/>
            </w:tcMar>
          </w:tcPr>
          <w:p>
            <w:pPr>
              <w:jc w:val="center"/>
            </w:pPr>
            <w:r>
              <w:rPr>
                <w:rFonts w:ascii="Aptos" w:hAnsi="Aptos"/>
                <w:sz w:val="19"/>
              </w:rPr>
              <w:t>Knowledge Articles</w:t>
            </w:r>
          </w:p>
        </w:tc>
        <w:tc>
          <w:tcPr>
            <w:tcW w:type="dxa" w:w="1800"/>
            <w:tcMar>
              <w:top w:w="110" w:type="dxa"/>
              <w:start w:w="120" w:type="dxa"/>
              <w:bottom w:w="110" w:type="dxa"/>
              <w:end w:w="120" w:type="dxa"/>
            </w:tcMar>
          </w:tcPr>
          <w:p>
            <w:pPr>
              <w:jc w:val="left"/>
            </w:pPr>
            <w:r>
              <w:rPr>
                <w:rFonts w:ascii="Aptos" w:hAnsi="Aptos"/>
                <w:sz w:val="19"/>
              </w:rPr>
              <w:t>25,000+</w:t>
            </w:r>
          </w:p>
        </w:tc>
        <w:tc>
          <w:tcPr>
            <w:tcW w:type="dxa" w:w="4896"/>
            <w:tcMar>
              <w:top w:w="110" w:type="dxa"/>
              <w:start w:w="120" w:type="dxa"/>
              <w:bottom w:w="110" w:type="dxa"/>
              <w:end w:w="120" w:type="dxa"/>
            </w:tcMar>
          </w:tcPr>
          <w:p>
            <w:pPr>
              <w:jc w:val="left"/>
            </w:pPr>
            <w:r>
              <w:rPr>
                <w:rFonts w:ascii="Aptos" w:hAnsi="Aptos"/>
                <w:sz w:val="19"/>
              </w:rPr>
              <w:t>Practical and cultural hospitality knowledge</w:t>
            </w:r>
          </w:p>
        </w:tc>
      </w:tr>
    </w:tbl>
    <w:p>
      <w:pPr>
        <w:spacing w:after="40"/>
      </w:pPr>
    </w:p>
    <w:p>
      <w:pPr>
        <w:pStyle w:val="Heading1"/>
      </w:pPr>
      <w:r>
        <w:t>9. Content Lifecycle and Governance</w:t>
      </w:r>
    </w:p>
    <w:p>
      <w:pPr>
        <w:pStyle w:val="ListNumber"/>
        <w:spacing w:after="80"/>
      </w:pPr>
      <w:r>
        <w:rPr>
          <w:rFonts w:ascii="Aptos" w:hAnsi="Aptos"/>
          <w:sz w:val="21"/>
        </w:rPr>
        <w:t>Content request is created with a clear business purpose.</w:t>
      </w:r>
    </w:p>
    <w:p>
      <w:pPr>
        <w:pStyle w:val="ListNumber"/>
        <w:spacing w:after="80"/>
      </w:pPr>
      <w:r>
        <w:rPr>
          <w:rFonts w:ascii="Aptos" w:hAnsi="Aptos"/>
          <w:sz w:val="21"/>
        </w:rPr>
        <w:t>The correct Enterprise template is selected.</w:t>
      </w:r>
    </w:p>
    <w:p>
      <w:pPr>
        <w:pStyle w:val="ListNumber"/>
        <w:spacing w:after="80"/>
      </w:pPr>
      <w:r>
        <w:rPr>
          <w:rFonts w:ascii="Aptos" w:hAnsi="Aptos"/>
          <w:sz w:val="21"/>
        </w:rPr>
        <w:t>An AI-assisted or human draft is produced.</w:t>
      </w:r>
    </w:p>
    <w:p>
      <w:pPr>
        <w:pStyle w:val="ListNumber"/>
        <w:spacing w:after="80"/>
      </w:pPr>
      <w:r>
        <w:rPr>
          <w:rFonts w:ascii="Aptos" w:hAnsi="Aptos"/>
          <w:sz w:val="21"/>
        </w:rPr>
        <w:t>A subject-matter expert reviews technical accuracy.</w:t>
      </w:r>
    </w:p>
    <w:p>
      <w:pPr>
        <w:pStyle w:val="ListNumber"/>
        <w:spacing w:after="80"/>
      </w:pPr>
      <w:r>
        <w:rPr>
          <w:rFonts w:ascii="Aptos" w:hAnsi="Aptos"/>
          <w:sz w:val="21"/>
        </w:rPr>
        <w:t>An editorial reviewer checks clarity, style and usability.</w:t>
      </w:r>
    </w:p>
    <w:p>
      <w:pPr>
        <w:pStyle w:val="ListNumber"/>
        <w:spacing w:after="80"/>
      </w:pPr>
      <w:r>
        <w:rPr>
          <w:rFonts w:ascii="Aptos" w:hAnsi="Aptos"/>
          <w:sz w:val="21"/>
        </w:rPr>
        <w:t>Compliance, safety, legal or responsible-service review is completed where required.</w:t>
      </w:r>
    </w:p>
    <w:p>
      <w:pPr>
        <w:pStyle w:val="ListNumber"/>
        <w:spacing w:after="80"/>
      </w:pPr>
      <w:r>
        <w:rPr>
          <w:rFonts w:ascii="Aptos" w:hAnsi="Aptos"/>
          <w:sz w:val="21"/>
        </w:rPr>
        <w:t>An authorized approver publishes the object.</w:t>
      </w:r>
    </w:p>
    <w:p>
      <w:pPr>
        <w:pStyle w:val="ListNumber"/>
        <w:spacing w:after="80"/>
      </w:pPr>
      <w:r>
        <w:rPr>
          <w:rFonts w:ascii="Aptos" w:hAnsi="Aptos"/>
          <w:sz w:val="21"/>
        </w:rPr>
        <w:t>Relationships are added to the Knowledge Graph.</w:t>
      </w:r>
    </w:p>
    <w:p>
      <w:pPr>
        <w:pStyle w:val="ListNumber"/>
        <w:spacing w:after="80"/>
      </w:pPr>
      <w:r>
        <w:rPr>
          <w:rFonts w:ascii="Aptos" w:hAnsi="Aptos"/>
          <w:sz w:val="21"/>
        </w:rPr>
        <w:t>The object is distributed to the relevant products and users.</w:t>
      </w:r>
    </w:p>
    <w:p>
      <w:pPr>
        <w:pStyle w:val="ListNumber"/>
        <w:spacing w:after="80"/>
      </w:pPr>
      <w:r>
        <w:rPr>
          <w:rFonts w:ascii="Aptos" w:hAnsi="Aptos"/>
          <w:sz w:val="21"/>
        </w:rPr>
        <w:t>Performance, feedback and review dates are monitored.</w:t>
      </w:r>
    </w:p>
    <w:tbl>
      <w:tblPr>
        <w:tblStyle w:val="TableGrid"/>
        <w:tblW w:type="auto" w:w="0"/>
        <w:jc w:val="center"/>
        <w:tblLook w:firstColumn="1" w:firstRow="1" w:lastColumn="0" w:lastRow="0" w:noHBand="0" w:noVBand="1" w:val="04A0"/>
      </w:tblPr>
      <w:tblGrid>
        <w:gridCol w:w="4896"/>
        <w:gridCol w:w="4896"/>
      </w:tblGrid>
      <w:tr>
        <w:tc>
          <w:tcPr>
            <w:tcW w:type="dxa" w:w="1872"/>
            <w:shd w:fill="1F6B4F"/>
            <w:tcMar>
              <w:top w:w="120" w:type="dxa"/>
              <w:start w:w="120" w:type="dxa"/>
              <w:bottom w:w="120" w:type="dxa"/>
              <w:end w:w="120" w:type="dxa"/>
            </w:tcMar>
            <w:vAlign w:val="center"/>
          </w:tcPr>
          <w:p>
            <w:pPr>
              <w:jc w:val="center"/>
            </w:pPr>
            <w:r>
              <w:rPr>
                <w:rFonts w:ascii="Aptos" w:hAnsi="Aptos"/>
                <w:b/>
                <w:color w:val="FFFFFF"/>
                <w:sz w:val="19"/>
              </w:rPr>
              <w:t>Status</w:t>
            </w:r>
          </w:p>
        </w:tc>
        <w:tc>
          <w:tcPr>
            <w:tcW w:type="dxa" w:w="7200"/>
            <w:shd w:fill="1F6B4F"/>
            <w:tcMar>
              <w:top w:w="120" w:type="dxa"/>
              <w:start w:w="120" w:type="dxa"/>
              <w:bottom w:w="120" w:type="dxa"/>
              <w:end w:w="120" w:type="dxa"/>
            </w:tcMar>
            <w:vAlign w:val="center"/>
          </w:tcPr>
          <w:p>
            <w:pPr>
              <w:jc w:val="center"/>
            </w:pPr>
            <w:r>
              <w:rPr>
                <w:rFonts w:ascii="Aptos" w:hAnsi="Aptos"/>
                <w:b/>
                <w:color w:val="FFFFFF"/>
                <w:sz w:val="19"/>
              </w:rPr>
              <w:t>Meaning</w:t>
            </w:r>
          </w:p>
        </w:tc>
      </w:tr>
      <w:tr>
        <w:tc>
          <w:tcPr>
            <w:tcW w:type="dxa" w:w="1872"/>
            <w:tcMar>
              <w:top w:w="110" w:type="dxa"/>
              <w:start w:w="120" w:type="dxa"/>
              <w:bottom w:w="110" w:type="dxa"/>
              <w:end w:w="120" w:type="dxa"/>
            </w:tcMar>
          </w:tcPr>
          <w:p>
            <w:pPr>
              <w:jc w:val="left"/>
            </w:pPr>
            <w:r>
              <w:rPr>
                <w:rFonts w:ascii="Aptos" w:hAnsi="Aptos"/>
                <w:sz w:val="19"/>
              </w:rPr>
              <w:t>Draft</w:t>
            </w:r>
          </w:p>
        </w:tc>
        <w:tc>
          <w:tcPr>
            <w:tcW w:type="dxa" w:w="7200"/>
            <w:tcMar>
              <w:top w:w="110" w:type="dxa"/>
              <w:start w:w="120" w:type="dxa"/>
              <w:bottom w:w="110" w:type="dxa"/>
              <w:end w:w="120" w:type="dxa"/>
            </w:tcMar>
          </w:tcPr>
          <w:p>
            <w:pPr>
              <w:jc w:val="left"/>
            </w:pPr>
            <w:r>
              <w:rPr>
                <w:rFonts w:ascii="Aptos" w:hAnsi="Aptos"/>
                <w:sz w:val="19"/>
              </w:rPr>
              <w:t>Being authored; not available for operational reliance</w:t>
            </w:r>
          </w:p>
        </w:tc>
      </w:tr>
      <w:tr>
        <w:tc>
          <w:tcPr>
            <w:tcW w:type="dxa" w:w="1872"/>
            <w:tcMar>
              <w:top w:w="110" w:type="dxa"/>
              <w:start w:w="120" w:type="dxa"/>
              <w:bottom w:w="110" w:type="dxa"/>
              <w:end w:w="120" w:type="dxa"/>
            </w:tcMar>
            <w:shd w:fill="F4F7F5"/>
          </w:tcPr>
          <w:p>
            <w:pPr>
              <w:jc w:val="left"/>
            </w:pPr>
            <w:r>
              <w:rPr>
                <w:rFonts w:ascii="Aptos" w:hAnsi="Aptos"/>
                <w:sz w:val="19"/>
              </w:rPr>
              <w:t>In Review</w:t>
            </w:r>
          </w:p>
        </w:tc>
        <w:tc>
          <w:tcPr>
            <w:tcW w:type="dxa" w:w="7200"/>
            <w:tcMar>
              <w:top w:w="110" w:type="dxa"/>
              <w:start w:w="120" w:type="dxa"/>
              <w:bottom w:w="110" w:type="dxa"/>
              <w:end w:w="120" w:type="dxa"/>
            </w:tcMar>
            <w:shd w:fill="F4F7F5"/>
          </w:tcPr>
          <w:p>
            <w:pPr>
              <w:jc w:val="left"/>
            </w:pPr>
            <w:r>
              <w:rPr>
                <w:rFonts w:ascii="Aptos" w:hAnsi="Aptos"/>
                <w:sz w:val="19"/>
              </w:rPr>
              <w:t>Under technical, editorial or specialist review</w:t>
            </w:r>
          </w:p>
        </w:tc>
      </w:tr>
      <w:tr>
        <w:tc>
          <w:tcPr>
            <w:tcW w:type="dxa" w:w="1872"/>
            <w:tcMar>
              <w:top w:w="110" w:type="dxa"/>
              <w:start w:w="120" w:type="dxa"/>
              <w:bottom w:w="110" w:type="dxa"/>
              <w:end w:w="120" w:type="dxa"/>
            </w:tcMar>
          </w:tcPr>
          <w:p>
            <w:pPr>
              <w:jc w:val="left"/>
            </w:pPr>
            <w:r>
              <w:rPr>
                <w:rFonts w:ascii="Aptos" w:hAnsi="Aptos"/>
                <w:sz w:val="19"/>
              </w:rPr>
              <w:t>Approved</w:t>
            </w:r>
          </w:p>
        </w:tc>
        <w:tc>
          <w:tcPr>
            <w:tcW w:type="dxa" w:w="7200"/>
            <w:tcMar>
              <w:top w:w="110" w:type="dxa"/>
              <w:start w:w="120" w:type="dxa"/>
              <w:bottom w:w="110" w:type="dxa"/>
              <w:end w:w="120" w:type="dxa"/>
            </w:tcMar>
          </w:tcPr>
          <w:p>
            <w:pPr>
              <w:jc w:val="left"/>
            </w:pPr>
            <w:r>
              <w:rPr>
                <w:rFonts w:ascii="Aptos" w:hAnsi="Aptos"/>
                <w:sz w:val="19"/>
              </w:rPr>
              <w:t>Authorized but not necessarily distributed</w:t>
            </w:r>
          </w:p>
        </w:tc>
      </w:tr>
      <w:tr>
        <w:tc>
          <w:tcPr>
            <w:tcW w:type="dxa" w:w="1872"/>
            <w:tcMar>
              <w:top w:w="110" w:type="dxa"/>
              <w:start w:w="120" w:type="dxa"/>
              <w:bottom w:w="110" w:type="dxa"/>
              <w:end w:w="120" w:type="dxa"/>
            </w:tcMar>
            <w:shd w:fill="F4F7F5"/>
          </w:tcPr>
          <w:p>
            <w:pPr>
              <w:jc w:val="left"/>
            </w:pPr>
            <w:r>
              <w:rPr>
                <w:rFonts w:ascii="Aptos" w:hAnsi="Aptos"/>
                <w:sz w:val="19"/>
              </w:rPr>
              <w:t>Published</w:t>
            </w:r>
          </w:p>
        </w:tc>
        <w:tc>
          <w:tcPr>
            <w:tcW w:type="dxa" w:w="7200"/>
            <w:tcMar>
              <w:top w:w="110" w:type="dxa"/>
              <w:start w:w="120" w:type="dxa"/>
              <w:bottom w:w="110" w:type="dxa"/>
              <w:end w:w="120" w:type="dxa"/>
            </w:tcMar>
            <w:shd w:fill="F4F7F5"/>
          </w:tcPr>
          <w:p>
            <w:pPr>
              <w:jc w:val="left"/>
            </w:pPr>
            <w:r>
              <w:rPr>
                <w:rFonts w:ascii="Aptos" w:hAnsi="Aptos"/>
                <w:sz w:val="19"/>
              </w:rPr>
              <w:t>Available to intended users and systems</w:t>
            </w:r>
          </w:p>
        </w:tc>
      </w:tr>
      <w:tr>
        <w:tc>
          <w:tcPr>
            <w:tcW w:type="dxa" w:w="1872"/>
            <w:tcMar>
              <w:top w:w="110" w:type="dxa"/>
              <w:start w:w="120" w:type="dxa"/>
              <w:bottom w:w="110" w:type="dxa"/>
              <w:end w:w="120" w:type="dxa"/>
            </w:tcMar>
          </w:tcPr>
          <w:p>
            <w:pPr>
              <w:jc w:val="left"/>
            </w:pPr>
            <w:r>
              <w:rPr>
                <w:rFonts w:ascii="Aptos" w:hAnsi="Aptos"/>
                <w:sz w:val="19"/>
              </w:rPr>
              <w:t>Superseded</w:t>
            </w:r>
          </w:p>
        </w:tc>
        <w:tc>
          <w:tcPr>
            <w:tcW w:type="dxa" w:w="7200"/>
            <w:tcMar>
              <w:top w:w="110" w:type="dxa"/>
              <w:start w:w="120" w:type="dxa"/>
              <w:bottom w:w="110" w:type="dxa"/>
              <w:end w:w="120" w:type="dxa"/>
            </w:tcMar>
          </w:tcPr>
          <w:p>
            <w:pPr>
              <w:jc w:val="left"/>
            </w:pPr>
            <w:r>
              <w:rPr>
                <w:rFonts w:ascii="Aptos" w:hAnsi="Aptos"/>
                <w:sz w:val="19"/>
              </w:rPr>
              <w:t>Replaced by a newer approved version</w:t>
            </w:r>
          </w:p>
        </w:tc>
      </w:tr>
      <w:tr>
        <w:tc>
          <w:tcPr>
            <w:tcW w:type="dxa" w:w="1872"/>
            <w:tcMar>
              <w:top w:w="110" w:type="dxa"/>
              <w:start w:w="120" w:type="dxa"/>
              <w:bottom w:w="110" w:type="dxa"/>
              <w:end w:w="120" w:type="dxa"/>
            </w:tcMar>
            <w:shd w:fill="F4F7F5"/>
          </w:tcPr>
          <w:p>
            <w:pPr>
              <w:jc w:val="left"/>
            </w:pPr>
            <w:r>
              <w:rPr>
                <w:rFonts w:ascii="Aptos" w:hAnsi="Aptos"/>
                <w:sz w:val="19"/>
              </w:rPr>
              <w:t>Archived</w:t>
            </w:r>
          </w:p>
        </w:tc>
        <w:tc>
          <w:tcPr>
            <w:tcW w:type="dxa" w:w="7200"/>
            <w:tcMar>
              <w:top w:w="110" w:type="dxa"/>
              <w:start w:w="120" w:type="dxa"/>
              <w:bottom w:w="110" w:type="dxa"/>
              <w:end w:w="120" w:type="dxa"/>
            </w:tcMar>
            <w:shd w:fill="F4F7F5"/>
          </w:tcPr>
          <w:p>
            <w:pPr>
              <w:jc w:val="left"/>
            </w:pPr>
            <w:r>
              <w:rPr>
                <w:rFonts w:ascii="Aptos" w:hAnsi="Aptos"/>
                <w:sz w:val="19"/>
              </w:rPr>
              <w:t>Retained for audit but removed from normal use</w:t>
            </w:r>
          </w:p>
        </w:tc>
      </w:tr>
    </w:tbl>
    <w:p>
      <w:pPr>
        <w:spacing w:after="40"/>
      </w:pPr>
    </w:p>
    <w:p>
      <w:pPr>
        <w:pStyle w:val="Heading1"/>
      </w:pPr>
      <w:r>
        <w:t>10. Enterprise Quality Standard</w:t>
      </w:r>
    </w:p>
    <w:tbl>
      <w:tblPr>
        <w:tblStyle w:val="TableGrid"/>
        <w:tblW w:type="auto" w:w="0"/>
        <w:jc w:val="center"/>
        <w:tblLook w:firstColumn="1" w:firstRow="1" w:lastColumn="0" w:lastRow="0" w:noHBand="0" w:noVBand="1" w:val="04A0"/>
      </w:tblPr>
      <w:tblGrid>
        <w:gridCol w:w="3264"/>
        <w:gridCol w:w="3264"/>
        <w:gridCol w:w="3264"/>
      </w:tblGrid>
      <w:tr>
        <w:tc>
          <w:tcPr>
            <w:tcW w:type="dxa" w:w="1440"/>
            <w:shd w:fill="1F6B4F"/>
            <w:tcMar>
              <w:top w:w="120" w:type="dxa"/>
              <w:start w:w="120" w:type="dxa"/>
              <w:bottom w:w="120" w:type="dxa"/>
              <w:end w:w="120" w:type="dxa"/>
            </w:tcMar>
            <w:vAlign w:val="center"/>
          </w:tcPr>
          <w:p>
            <w:pPr>
              <w:jc w:val="center"/>
            </w:pPr>
            <w:r>
              <w:rPr>
                <w:rFonts w:ascii="Aptos" w:hAnsi="Aptos"/>
                <w:b/>
                <w:color w:val="FFFFFF"/>
                <w:sz w:val="19"/>
              </w:rPr>
              <w:t>Level</w:t>
            </w:r>
          </w:p>
        </w:tc>
        <w:tc>
          <w:tcPr>
            <w:tcW w:type="dxa" w:w="4680"/>
            <w:shd w:fill="1F6B4F"/>
            <w:tcMar>
              <w:top w:w="120" w:type="dxa"/>
              <w:start w:w="120" w:type="dxa"/>
              <w:bottom w:w="120" w:type="dxa"/>
              <w:end w:w="120" w:type="dxa"/>
            </w:tcMar>
            <w:vAlign w:val="center"/>
          </w:tcPr>
          <w:p>
            <w:pPr>
              <w:jc w:val="center"/>
            </w:pPr>
            <w:r>
              <w:rPr>
                <w:rFonts w:ascii="Aptos" w:hAnsi="Aptos"/>
                <w:b/>
                <w:color w:val="FFFFFF"/>
                <w:sz w:val="19"/>
              </w:rPr>
              <w:t>Definition</w:t>
            </w:r>
          </w:p>
        </w:tc>
        <w:tc>
          <w:tcPr>
            <w:tcW w:type="dxa" w:w="2951"/>
            <w:shd w:fill="1F6B4F"/>
            <w:tcMar>
              <w:top w:w="120" w:type="dxa"/>
              <w:start w:w="120" w:type="dxa"/>
              <w:bottom w:w="120" w:type="dxa"/>
              <w:end w:w="120" w:type="dxa"/>
            </w:tcMar>
            <w:vAlign w:val="center"/>
          </w:tcPr>
          <w:p>
            <w:pPr>
              <w:jc w:val="center"/>
            </w:pPr>
            <w:r>
              <w:rPr>
                <w:rFonts w:ascii="Aptos" w:hAnsi="Aptos"/>
                <w:b/>
                <w:color w:val="FFFFFF"/>
                <w:sz w:val="19"/>
              </w:rPr>
              <w:t>Minimum Use</w:t>
            </w:r>
          </w:p>
        </w:tc>
      </w:tr>
      <w:tr>
        <w:tc>
          <w:tcPr>
            <w:tcW w:type="dxa" w:w="1440"/>
            <w:tcMar>
              <w:top w:w="110" w:type="dxa"/>
              <w:start w:w="120" w:type="dxa"/>
              <w:bottom w:w="110" w:type="dxa"/>
              <w:end w:w="120" w:type="dxa"/>
            </w:tcMar>
          </w:tcPr>
          <w:p>
            <w:pPr>
              <w:jc w:val="center"/>
            </w:pPr>
            <w:r>
              <w:rPr>
                <w:rFonts w:ascii="Aptos" w:hAnsi="Aptos"/>
                <w:sz w:val="19"/>
              </w:rPr>
              <w:t>Bronze</w:t>
            </w:r>
          </w:p>
        </w:tc>
        <w:tc>
          <w:tcPr>
            <w:tcW w:type="dxa" w:w="4680"/>
            <w:tcMar>
              <w:top w:w="110" w:type="dxa"/>
              <w:start w:w="120" w:type="dxa"/>
              <w:bottom w:w="110" w:type="dxa"/>
              <w:end w:w="120" w:type="dxa"/>
            </w:tcMar>
          </w:tcPr>
          <w:p>
            <w:pPr>
              <w:jc w:val="left"/>
            </w:pPr>
            <w:r>
              <w:rPr>
                <w:rFonts w:ascii="Aptos" w:hAnsi="Aptos"/>
                <w:sz w:val="19"/>
              </w:rPr>
              <w:t>Basic reference record with identity and essential content</w:t>
            </w:r>
          </w:p>
        </w:tc>
        <w:tc>
          <w:tcPr>
            <w:tcW w:type="dxa" w:w="2951"/>
            <w:tcMar>
              <w:top w:w="110" w:type="dxa"/>
              <w:start w:w="120" w:type="dxa"/>
              <w:bottom w:w="110" w:type="dxa"/>
              <w:end w:w="120" w:type="dxa"/>
            </w:tcMar>
          </w:tcPr>
          <w:p>
            <w:pPr>
              <w:jc w:val="left"/>
            </w:pPr>
            <w:r>
              <w:rPr>
                <w:rFonts w:ascii="Aptos" w:hAnsi="Aptos"/>
                <w:sz w:val="19"/>
              </w:rPr>
              <w:t>Internal indexing and early drafting</w:t>
            </w:r>
          </w:p>
        </w:tc>
      </w:tr>
      <w:tr>
        <w:tc>
          <w:tcPr>
            <w:tcW w:type="dxa" w:w="1440"/>
            <w:tcMar>
              <w:top w:w="110" w:type="dxa"/>
              <w:start w:w="120" w:type="dxa"/>
              <w:bottom w:w="110" w:type="dxa"/>
              <w:end w:w="120" w:type="dxa"/>
            </w:tcMar>
            <w:shd w:fill="F4F7F5"/>
          </w:tcPr>
          <w:p>
            <w:pPr>
              <w:jc w:val="center"/>
            </w:pPr>
            <w:r>
              <w:rPr>
                <w:rFonts w:ascii="Aptos" w:hAnsi="Aptos"/>
                <w:sz w:val="19"/>
              </w:rPr>
              <w:t>Silver</w:t>
            </w:r>
          </w:p>
        </w:tc>
        <w:tc>
          <w:tcPr>
            <w:tcW w:type="dxa" w:w="4680"/>
            <w:tcMar>
              <w:top w:w="110" w:type="dxa"/>
              <w:start w:w="120" w:type="dxa"/>
              <w:bottom w:w="110" w:type="dxa"/>
              <w:end w:w="120" w:type="dxa"/>
            </w:tcMar>
            <w:shd w:fill="F4F7F5"/>
          </w:tcPr>
          <w:p>
            <w:pPr>
              <w:jc w:val="left"/>
            </w:pPr>
            <w:r>
              <w:rPr>
                <w:rFonts w:ascii="Aptos" w:hAnsi="Aptos"/>
                <w:sz w:val="19"/>
              </w:rPr>
              <w:t>Complete operational record with procedures, controls and downloads</w:t>
            </w:r>
          </w:p>
        </w:tc>
        <w:tc>
          <w:tcPr>
            <w:tcW w:type="dxa" w:w="2951"/>
            <w:tcMar>
              <w:top w:w="110" w:type="dxa"/>
              <w:start w:w="120" w:type="dxa"/>
              <w:bottom w:w="110" w:type="dxa"/>
              <w:end w:w="120" w:type="dxa"/>
            </w:tcMar>
            <w:shd w:fill="F4F7F5"/>
          </w:tcPr>
          <w:p>
            <w:pPr>
              <w:jc w:val="left"/>
            </w:pPr>
            <w:r>
              <w:rPr>
                <w:rFonts w:ascii="Aptos" w:hAnsi="Aptos"/>
                <w:sz w:val="19"/>
              </w:rPr>
              <w:t>Day-to-day operational use</w:t>
            </w:r>
          </w:p>
        </w:tc>
      </w:tr>
      <w:tr>
        <w:tc>
          <w:tcPr>
            <w:tcW w:type="dxa" w:w="1440"/>
            <w:tcMar>
              <w:top w:w="110" w:type="dxa"/>
              <w:start w:w="120" w:type="dxa"/>
              <w:bottom w:w="110" w:type="dxa"/>
              <w:end w:w="120" w:type="dxa"/>
            </w:tcMar>
          </w:tcPr>
          <w:p>
            <w:pPr>
              <w:jc w:val="center"/>
            </w:pPr>
            <w:r>
              <w:rPr>
                <w:rFonts w:ascii="Aptos" w:hAnsi="Aptos"/>
                <w:sz w:val="19"/>
              </w:rPr>
              <w:t>Gold</w:t>
            </w:r>
          </w:p>
        </w:tc>
        <w:tc>
          <w:tcPr>
            <w:tcW w:type="dxa" w:w="4680"/>
            <w:tcMar>
              <w:top w:w="110" w:type="dxa"/>
              <w:start w:w="120" w:type="dxa"/>
              <w:bottom w:w="110" w:type="dxa"/>
              <w:end w:w="120" w:type="dxa"/>
            </w:tcMar>
          </w:tcPr>
          <w:p>
            <w:pPr>
              <w:jc w:val="left"/>
            </w:pPr>
            <w:r>
              <w:rPr>
                <w:rFonts w:ascii="Aptos" w:hAnsi="Aptos"/>
                <w:sz w:val="19"/>
              </w:rPr>
              <w:t>Governed Enterprise Object with training, relationships and intelligence metadata</w:t>
            </w:r>
          </w:p>
        </w:tc>
        <w:tc>
          <w:tcPr>
            <w:tcW w:type="dxa" w:w="2951"/>
            <w:tcMar>
              <w:top w:w="110" w:type="dxa"/>
              <w:start w:w="120" w:type="dxa"/>
              <w:bottom w:w="110" w:type="dxa"/>
              <w:end w:w="120" w:type="dxa"/>
            </w:tcMar>
          </w:tcPr>
          <w:p>
            <w:pPr>
              <w:jc w:val="left"/>
            </w:pPr>
            <w:r>
              <w:rPr>
                <w:rFonts w:ascii="Aptos" w:hAnsi="Aptos"/>
                <w:sz w:val="19"/>
              </w:rPr>
              <w:t>Enterprise-wide publication</w:t>
            </w:r>
          </w:p>
        </w:tc>
      </w:tr>
      <w:tr>
        <w:tc>
          <w:tcPr>
            <w:tcW w:type="dxa" w:w="1440"/>
            <w:tcMar>
              <w:top w:w="110" w:type="dxa"/>
              <w:start w:w="120" w:type="dxa"/>
              <w:bottom w:w="110" w:type="dxa"/>
              <w:end w:w="120" w:type="dxa"/>
            </w:tcMar>
            <w:shd w:fill="F4F7F5"/>
          </w:tcPr>
          <w:p>
            <w:pPr>
              <w:jc w:val="center"/>
            </w:pPr>
            <w:r>
              <w:rPr>
                <w:rFonts w:ascii="Aptos" w:hAnsi="Aptos"/>
                <w:sz w:val="19"/>
              </w:rPr>
              <w:t>Diamond</w:t>
            </w:r>
          </w:p>
        </w:tc>
        <w:tc>
          <w:tcPr>
            <w:tcW w:type="dxa" w:w="4680"/>
            <w:tcMar>
              <w:top w:w="110" w:type="dxa"/>
              <w:start w:w="120" w:type="dxa"/>
              <w:bottom w:w="110" w:type="dxa"/>
              <w:end w:w="120" w:type="dxa"/>
            </w:tcMar>
            <w:shd w:fill="F4F7F5"/>
          </w:tcPr>
          <w:p>
            <w:pPr>
              <w:jc w:val="left"/>
            </w:pPr>
            <w:r>
              <w:rPr>
                <w:rFonts w:ascii="Aptos" w:hAnsi="Aptos"/>
                <w:sz w:val="19"/>
              </w:rPr>
              <w:t>Showcase standard with multimedia, assessment, analytics, marketing and full graph integration</w:t>
            </w:r>
          </w:p>
        </w:tc>
        <w:tc>
          <w:tcPr>
            <w:tcW w:type="dxa" w:w="2951"/>
            <w:tcMar>
              <w:top w:w="110" w:type="dxa"/>
              <w:start w:w="120" w:type="dxa"/>
              <w:bottom w:w="110" w:type="dxa"/>
              <w:end w:w="120" w:type="dxa"/>
            </w:tcMar>
            <w:shd w:fill="F4F7F5"/>
          </w:tcPr>
          <w:p>
            <w:pPr>
              <w:jc w:val="left"/>
            </w:pPr>
            <w:r>
              <w:rPr>
                <w:rFonts w:ascii="Aptos" w:hAnsi="Aptos"/>
                <w:sz w:val="19"/>
              </w:rPr>
              <w:t>Premium content and flagship experiences</w:t>
            </w:r>
          </w:p>
        </w:tc>
      </w:tr>
    </w:tbl>
    <w:p>
      <w:pPr>
        <w:spacing w:after="40"/>
      </w:pPr>
    </w:p>
    <w:p>
      <w:pPr>
        <w:pStyle w:val="Heading1"/>
      </w:pPr>
      <w:r>
        <w:t>11. Responsible AI Constitution</w:t>
      </w:r>
    </w:p>
    <w:p>
      <w:r>
        <w:t>Ask Paddy and every specialist AI must operate within clear boundaries. Intelligence should increase human capability without obscuring accountability.</w:t>
      </w:r>
    </w:p>
    <w:tbl>
      <w:tblPr>
        <w:tblStyle w:val="TableGrid"/>
        <w:tblW w:type="auto" w:w="0"/>
        <w:jc w:val="center"/>
        <w:tblLook w:firstColumn="1" w:firstRow="1" w:lastColumn="0" w:lastRow="0" w:noHBand="0" w:noVBand="1" w:val="04A0"/>
      </w:tblPr>
      <w:tblGrid>
        <w:gridCol w:w="4896"/>
        <w:gridCol w:w="4896"/>
      </w:tblGrid>
      <w:tr>
        <w:tc>
          <w:tcPr>
            <w:tcW w:type="dxa" w:w="1944"/>
            <w:shd w:fill="1F6B4F"/>
            <w:tcMar>
              <w:top w:w="120" w:type="dxa"/>
              <w:start w:w="120" w:type="dxa"/>
              <w:bottom w:w="120" w:type="dxa"/>
              <w:end w:w="120" w:type="dxa"/>
            </w:tcMar>
            <w:vAlign w:val="center"/>
          </w:tcPr>
          <w:p>
            <w:pPr>
              <w:jc w:val="center"/>
            </w:pPr>
            <w:r>
              <w:rPr>
                <w:rFonts w:ascii="Aptos" w:hAnsi="Aptos"/>
                <w:b/>
                <w:color w:val="FFFFFF"/>
                <w:sz w:val="19"/>
              </w:rPr>
              <w:t>Rule</w:t>
            </w:r>
          </w:p>
        </w:tc>
        <w:tc>
          <w:tcPr>
            <w:tcW w:type="dxa" w:w="7128"/>
            <w:shd w:fill="1F6B4F"/>
            <w:tcMar>
              <w:top w:w="120" w:type="dxa"/>
              <w:start w:w="120" w:type="dxa"/>
              <w:bottom w:w="120" w:type="dxa"/>
              <w:end w:w="120" w:type="dxa"/>
            </w:tcMar>
            <w:vAlign w:val="center"/>
          </w:tcPr>
          <w:p>
            <w:pPr>
              <w:jc w:val="center"/>
            </w:pPr>
            <w:r>
              <w:rPr>
                <w:rFonts w:ascii="Aptos" w:hAnsi="Aptos"/>
                <w:b/>
                <w:color w:val="FFFFFF"/>
                <w:sz w:val="19"/>
              </w:rPr>
              <w:t>Constitutional Requirement</w:t>
            </w:r>
          </w:p>
        </w:tc>
      </w:tr>
      <w:tr>
        <w:tc>
          <w:tcPr>
            <w:tcW w:type="dxa" w:w="1944"/>
            <w:tcMar>
              <w:top w:w="110" w:type="dxa"/>
              <w:start w:w="120" w:type="dxa"/>
              <w:bottom w:w="110" w:type="dxa"/>
              <w:end w:w="120" w:type="dxa"/>
            </w:tcMar>
          </w:tcPr>
          <w:p>
            <w:pPr>
              <w:jc w:val="left"/>
            </w:pPr>
            <w:r>
              <w:rPr>
                <w:rFonts w:ascii="Aptos" w:hAnsi="Aptos"/>
                <w:sz w:val="19"/>
              </w:rPr>
              <w:t>Grounding</w:t>
            </w:r>
          </w:p>
        </w:tc>
        <w:tc>
          <w:tcPr>
            <w:tcW w:type="dxa" w:w="7128"/>
            <w:tcMar>
              <w:top w:w="110" w:type="dxa"/>
              <w:start w:w="120" w:type="dxa"/>
              <w:bottom w:w="110" w:type="dxa"/>
              <w:end w:w="120" w:type="dxa"/>
            </w:tcMar>
          </w:tcPr>
          <w:p>
            <w:pPr>
              <w:jc w:val="left"/>
            </w:pPr>
            <w:r>
              <w:rPr>
                <w:rFonts w:ascii="Aptos" w:hAnsi="Aptos"/>
                <w:sz w:val="19"/>
              </w:rPr>
              <w:t>Operational answers should be based on approved knowledge or authorized business data.</w:t>
            </w:r>
          </w:p>
        </w:tc>
      </w:tr>
      <w:tr>
        <w:tc>
          <w:tcPr>
            <w:tcW w:type="dxa" w:w="1944"/>
            <w:tcMar>
              <w:top w:w="110" w:type="dxa"/>
              <w:start w:w="120" w:type="dxa"/>
              <w:bottom w:w="110" w:type="dxa"/>
              <w:end w:w="120" w:type="dxa"/>
            </w:tcMar>
            <w:shd w:fill="F4F7F5"/>
          </w:tcPr>
          <w:p>
            <w:pPr>
              <w:jc w:val="left"/>
            </w:pPr>
            <w:r>
              <w:rPr>
                <w:rFonts w:ascii="Aptos" w:hAnsi="Aptos"/>
                <w:sz w:val="19"/>
              </w:rPr>
              <w:t>Traceability</w:t>
            </w:r>
          </w:p>
        </w:tc>
        <w:tc>
          <w:tcPr>
            <w:tcW w:type="dxa" w:w="7128"/>
            <w:tcMar>
              <w:top w:w="110" w:type="dxa"/>
              <w:start w:w="120" w:type="dxa"/>
              <w:bottom w:w="110" w:type="dxa"/>
              <w:end w:w="120" w:type="dxa"/>
            </w:tcMar>
            <w:shd w:fill="F4F7F5"/>
          </w:tcPr>
          <w:p>
            <w:pPr>
              <w:jc w:val="left"/>
            </w:pPr>
            <w:r>
              <w:rPr>
                <w:rFonts w:ascii="Aptos" w:hAnsi="Aptos"/>
                <w:sz w:val="19"/>
              </w:rPr>
              <w:t>Important recommendations should identify the supporting objects, data or assumptions.</w:t>
            </w:r>
          </w:p>
        </w:tc>
      </w:tr>
      <w:tr>
        <w:tc>
          <w:tcPr>
            <w:tcW w:type="dxa" w:w="1944"/>
            <w:tcMar>
              <w:top w:w="110" w:type="dxa"/>
              <w:start w:w="120" w:type="dxa"/>
              <w:bottom w:w="110" w:type="dxa"/>
              <w:end w:w="120" w:type="dxa"/>
            </w:tcMar>
          </w:tcPr>
          <w:p>
            <w:pPr>
              <w:jc w:val="left"/>
            </w:pPr>
            <w:r>
              <w:rPr>
                <w:rFonts w:ascii="Aptos" w:hAnsi="Aptos"/>
                <w:sz w:val="19"/>
              </w:rPr>
              <w:t>Confidence</w:t>
            </w:r>
          </w:p>
        </w:tc>
        <w:tc>
          <w:tcPr>
            <w:tcW w:type="dxa" w:w="7128"/>
            <w:tcMar>
              <w:top w:w="110" w:type="dxa"/>
              <w:start w:w="120" w:type="dxa"/>
              <w:bottom w:w="110" w:type="dxa"/>
              <w:end w:w="120" w:type="dxa"/>
            </w:tcMar>
          </w:tcPr>
          <w:p>
            <w:pPr>
              <w:jc w:val="left"/>
            </w:pPr>
            <w:r>
              <w:rPr>
                <w:rFonts w:ascii="Aptos" w:hAnsi="Aptos"/>
                <w:sz w:val="19"/>
              </w:rPr>
              <w:t>The system should communicate uncertainty and avoid presenting weak inference as fact.</w:t>
            </w:r>
          </w:p>
        </w:tc>
      </w:tr>
      <w:tr>
        <w:tc>
          <w:tcPr>
            <w:tcW w:type="dxa" w:w="1944"/>
            <w:tcMar>
              <w:top w:w="110" w:type="dxa"/>
              <w:start w:w="120" w:type="dxa"/>
              <w:bottom w:w="110" w:type="dxa"/>
              <w:end w:w="120" w:type="dxa"/>
            </w:tcMar>
            <w:shd w:fill="F4F7F5"/>
          </w:tcPr>
          <w:p>
            <w:pPr>
              <w:jc w:val="left"/>
            </w:pPr>
            <w:r>
              <w:rPr>
                <w:rFonts w:ascii="Aptos" w:hAnsi="Aptos"/>
                <w:sz w:val="19"/>
              </w:rPr>
              <w:t>Human Approval</w:t>
            </w:r>
          </w:p>
        </w:tc>
        <w:tc>
          <w:tcPr>
            <w:tcW w:type="dxa" w:w="7128"/>
            <w:tcMar>
              <w:top w:w="110" w:type="dxa"/>
              <w:start w:w="120" w:type="dxa"/>
              <w:bottom w:w="110" w:type="dxa"/>
              <w:end w:w="120" w:type="dxa"/>
            </w:tcMar>
            <w:shd w:fill="F4F7F5"/>
          </w:tcPr>
          <w:p>
            <w:pPr>
              <w:jc w:val="left"/>
            </w:pPr>
            <w:r>
              <w:rPr>
                <w:rFonts w:ascii="Aptos" w:hAnsi="Aptos"/>
                <w:sz w:val="19"/>
              </w:rPr>
              <w:t>Consequential financial, employment, safety, privacy and publication actions require authorized approval.</w:t>
            </w:r>
          </w:p>
        </w:tc>
      </w:tr>
      <w:tr>
        <w:tc>
          <w:tcPr>
            <w:tcW w:type="dxa" w:w="1944"/>
            <w:tcMar>
              <w:top w:w="110" w:type="dxa"/>
              <w:start w:w="120" w:type="dxa"/>
              <w:bottom w:w="110" w:type="dxa"/>
              <w:end w:w="120" w:type="dxa"/>
            </w:tcMar>
          </w:tcPr>
          <w:p>
            <w:pPr>
              <w:jc w:val="left"/>
            </w:pPr>
            <w:r>
              <w:rPr>
                <w:rFonts w:ascii="Aptos" w:hAnsi="Aptos"/>
                <w:sz w:val="19"/>
              </w:rPr>
              <w:t>No Fabrication</w:t>
            </w:r>
          </w:p>
        </w:tc>
        <w:tc>
          <w:tcPr>
            <w:tcW w:type="dxa" w:w="7128"/>
            <w:tcMar>
              <w:top w:w="110" w:type="dxa"/>
              <w:start w:w="120" w:type="dxa"/>
              <w:bottom w:w="110" w:type="dxa"/>
              <w:end w:w="120" w:type="dxa"/>
            </w:tcMar>
          </w:tcPr>
          <w:p>
            <w:pPr>
              <w:jc w:val="left"/>
            </w:pPr>
            <w:r>
              <w:rPr>
                <w:rFonts w:ascii="Aptos" w:hAnsi="Aptos"/>
                <w:sz w:val="19"/>
              </w:rPr>
              <w:t>Ask Paddy must not invent procedures, policies, records, approvals or source material.</w:t>
            </w:r>
          </w:p>
        </w:tc>
      </w:tr>
      <w:tr>
        <w:tc>
          <w:tcPr>
            <w:tcW w:type="dxa" w:w="1944"/>
            <w:tcMar>
              <w:top w:w="110" w:type="dxa"/>
              <w:start w:w="120" w:type="dxa"/>
              <w:bottom w:w="110" w:type="dxa"/>
              <w:end w:w="120" w:type="dxa"/>
            </w:tcMar>
            <w:shd w:fill="F4F7F5"/>
          </w:tcPr>
          <w:p>
            <w:pPr>
              <w:jc w:val="left"/>
            </w:pPr>
            <w:r>
              <w:rPr>
                <w:rFonts w:ascii="Aptos" w:hAnsi="Aptos"/>
                <w:sz w:val="19"/>
              </w:rPr>
              <w:t>Least Privilege</w:t>
            </w:r>
          </w:p>
        </w:tc>
        <w:tc>
          <w:tcPr>
            <w:tcW w:type="dxa" w:w="7128"/>
            <w:tcMar>
              <w:top w:w="110" w:type="dxa"/>
              <w:start w:w="120" w:type="dxa"/>
              <w:bottom w:w="110" w:type="dxa"/>
              <w:end w:w="120" w:type="dxa"/>
            </w:tcMar>
            <w:shd w:fill="F4F7F5"/>
          </w:tcPr>
          <w:p>
            <w:pPr>
              <w:jc w:val="left"/>
            </w:pPr>
            <w:r>
              <w:rPr>
                <w:rFonts w:ascii="Aptos" w:hAnsi="Aptos"/>
                <w:sz w:val="19"/>
              </w:rPr>
              <w:t>AI access must follow the user’s permissions and role.</w:t>
            </w:r>
          </w:p>
        </w:tc>
      </w:tr>
      <w:tr>
        <w:tc>
          <w:tcPr>
            <w:tcW w:type="dxa" w:w="1944"/>
            <w:tcMar>
              <w:top w:w="110" w:type="dxa"/>
              <w:start w:w="120" w:type="dxa"/>
              <w:bottom w:w="110" w:type="dxa"/>
              <w:end w:w="120" w:type="dxa"/>
            </w:tcMar>
          </w:tcPr>
          <w:p>
            <w:pPr>
              <w:jc w:val="left"/>
            </w:pPr>
            <w:r>
              <w:rPr>
                <w:rFonts w:ascii="Aptos" w:hAnsi="Aptos"/>
                <w:sz w:val="19"/>
              </w:rPr>
              <w:t>Privacy</w:t>
            </w:r>
          </w:p>
        </w:tc>
        <w:tc>
          <w:tcPr>
            <w:tcW w:type="dxa" w:w="7128"/>
            <w:tcMar>
              <w:top w:w="110" w:type="dxa"/>
              <w:start w:w="120" w:type="dxa"/>
              <w:bottom w:w="110" w:type="dxa"/>
              <w:end w:w="120" w:type="dxa"/>
            </w:tcMar>
          </w:tcPr>
          <w:p>
            <w:pPr>
              <w:jc w:val="left"/>
            </w:pPr>
            <w:r>
              <w:rPr>
                <w:rFonts w:ascii="Aptos" w:hAnsi="Aptos"/>
                <w:sz w:val="19"/>
              </w:rPr>
              <w:t>Sensitive personal data must not be exposed or used beyond approved purposes.</w:t>
            </w:r>
          </w:p>
        </w:tc>
      </w:tr>
      <w:tr>
        <w:tc>
          <w:tcPr>
            <w:tcW w:type="dxa" w:w="1944"/>
            <w:tcMar>
              <w:top w:w="110" w:type="dxa"/>
              <w:start w:w="120" w:type="dxa"/>
              <w:bottom w:w="110" w:type="dxa"/>
              <w:end w:w="120" w:type="dxa"/>
            </w:tcMar>
            <w:shd w:fill="F4F7F5"/>
          </w:tcPr>
          <w:p>
            <w:pPr>
              <w:jc w:val="left"/>
            </w:pPr>
            <w:r>
              <w:rPr>
                <w:rFonts w:ascii="Aptos" w:hAnsi="Aptos"/>
                <w:sz w:val="19"/>
              </w:rPr>
              <w:t>Auditability</w:t>
            </w:r>
          </w:p>
        </w:tc>
        <w:tc>
          <w:tcPr>
            <w:tcW w:type="dxa" w:w="7128"/>
            <w:tcMar>
              <w:top w:w="110" w:type="dxa"/>
              <w:start w:w="120" w:type="dxa"/>
              <w:bottom w:w="110" w:type="dxa"/>
              <w:end w:w="120" w:type="dxa"/>
            </w:tcMar>
            <w:shd w:fill="F4F7F5"/>
          </w:tcPr>
          <w:p>
            <w:pPr>
              <w:jc w:val="left"/>
            </w:pPr>
            <w:r>
              <w:rPr>
                <w:rFonts w:ascii="Aptos" w:hAnsi="Aptos"/>
                <w:sz w:val="19"/>
              </w:rPr>
              <w:t>Material AI recommendations and actions must be logged.</w:t>
            </w:r>
          </w:p>
        </w:tc>
      </w:tr>
      <w:tr>
        <w:tc>
          <w:tcPr>
            <w:tcW w:type="dxa" w:w="1944"/>
            <w:tcMar>
              <w:top w:w="110" w:type="dxa"/>
              <w:start w:w="120" w:type="dxa"/>
              <w:bottom w:w="110" w:type="dxa"/>
              <w:end w:w="120" w:type="dxa"/>
            </w:tcMar>
          </w:tcPr>
          <w:p>
            <w:pPr>
              <w:jc w:val="left"/>
            </w:pPr>
            <w:r>
              <w:rPr>
                <w:rFonts w:ascii="Aptos" w:hAnsi="Aptos"/>
                <w:sz w:val="19"/>
              </w:rPr>
              <w:t>Reversibility</w:t>
            </w:r>
          </w:p>
        </w:tc>
        <w:tc>
          <w:tcPr>
            <w:tcW w:type="dxa" w:w="7128"/>
            <w:tcMar>
              <w:top w:w="110" w:type="dxa"/>
              <w:start w:w="120" w:type="dxa"/>
              <w:bottom w:w="110" w:type="dxa"/>
              <w:end w:w="120" w:type="dxa"/>
            </w:tcMar>
          </w:tcPr>
          <w:p>
            <w:pPr>
              <w:jc w:val="left"/>
            </w:pPr>
            <w:r>
              <w:rPr>
                <w:rFonts w:ascii="Aptos" w:hAnsi="Aptos"/>
                <w:sz w:val="19"/>
              </w:rPr>
              <w:t>Automated actions should be reversible wherever operationally possible.</w:t>
            </w:r>
          </w:p>
        </w:tc>
      </w:tr>
      <w:tr>
        <w:tc>
          <w:tcPr>
            <w:tcW w:type="dxa" w:w="1944"/>
            <w:tcMar>
              <w:top w:w="110" w:type="dxa"/>
              <w:start w:w="120" w:type="dxa"/>
              <w:bottom w:w="110" w:type="dxa"/>
              <w:end w:w="120" w:type="dxa"/>
            </w:tcMar>
            <w:shd w:fill="F4F7F5"/>
          </w:tcPr>
          <w:p>
            <w:pPr>
              <w:jc w:val="left"/>
            </w:pPr>
            <w:r>
              <w:rPr>
                <w:rFonts w:ascii="Aptos" w:hAnsi="Aptos"/>
                <w:sz w:val="19"/>
              </w:rPr>
              <w:t>Continuous Evaluation</w:t>
            </w:r>
          </w:p>
        </w:tc>
        <w:tc>
          <w:tcPr>
            <w:tcW w:type="dxa" w:w="7128"/>
            <w:tcMar>
              <w:top w:w="110" w:type="dxa"/>
              <w:start w:w="120" w:type="dxa"/>
              <w:bottom w:w="110" w:type="dxa"/>
              <w:end w:w="120" w:type="dxa"/>
            </w:tcMar>
            <w:shd w:fill="F4F7F5"/>
          </w:tcPr>
          <w:p>
            <w:pPr>
              <w:jc w:val="left"/>
            </w:pPr>
            <w:r>
              <w:rPr>
                <w:rFonts w:ascii="Aptos" w:hAnsi="Aptos"/>
                <w:sz w:val="19"/>
              </w:rPr>
              <w:t>Accuracy, usefulness, bias, safety and user trust must be measured over time.</w:t>
            </w:r>
          </w:p>
        </w:tc>
      </w:tr>
    </w:tbl>
    <w:p>
      <w:pPr>
        <w:spacing w:after="40"/>
      </w:pPr>
    </w:p>
    <w:p>
      <w:pPr>
        <w:pStyle w:val="Heading1"/>
      </w:pPr>
      <w:r>
        <w:t>12. Automation and Autonomous Operations</w:t>
      </w:r>
    </w:p>
    <w:p>
      <w:r>
        <w:t>Automation should remove repetitive work while preserving control. Every workflow must state its trigger, conditions, actions, permissions, evidence, exceptions and escalation path.</w:t>
      </w:r>
    </w:p>
    <w:tbl>
      <w:tblPr>
        <w:tblStyle w:val="TableGrid"/>
        <w:tblW w:type="auto" w:w="0"/>
        <w:jc w:val="center"/>
        <w:tblLook w:firstColumn="1" w:firstRow="1" w:lastColumn="0" w:lastRow="0" w:noHBand="0" w:noVBand="1" w:val="04A0"/>
      </w:tblPr>
      <w:tblGrid>
        <w:gridCol w:w="4896"/>
        <w:gridCol w:w="4896"/>
      </w:tblGrid>
      <w:tr>
        <w:tc>
          <w:tcPr>
            <w:tcW w:type="dxa" w:w="2160"/>
            <w:shd w:fill="1F6B4F"/>
            <w:tcMar>
              <w:top w:w="120" w:type="dxa"/>
              <w:start w:w="120" w:type="dxa"/>
              <w:bottom w:w="120" w:type="dxa"/>
              <w:end w:w="120" w:type="dxa"/>
            </w:tcMar>
            <w:vAlign w:val="center"/>
          </w:tcPr>
          <w:p>
            <w:pPr>
              <w:jc w:val="center"/>
            </w:pPr>
            <w:r>
              <w:rPr>
                <w:rFonts w:ascii="Aptos" w:hAnsi="Aptos"/>
                <w:b/>
                <w:color w:val="FFFFFF"/>
                <w:sz w:val="19"/>
              </w:rPr>
              <w:t>Automation Mode</w:t>
            </w:r>
          </w:p>
        </w:tc>
        <w:tc>
          <w:tcPr>
            <w:tcW w:type="dxa" w:w="6912"/>
            <w:shd w:fill="1F6B4F"/>
            <w:tcMar>
              <w:top w:w="120" w:type="dxa"/>
              <w:start w:w="120" w:type="dxa"/>
              <w:bottom w:w="120" w:type="dxa"/>
              <w:end w:w="120" w:type="dxa"/>
            </w:tcMar>
            <w:vAlign w:val="center"/>
          </w:tcPr>
          <w:p>
            <w:pPr>
              <w:jc w:val="center"/>
            </w:pPr>
            <w:r>
              <w:rPr>
                <w:rFonts w:ascii="Aptos" w:hAnsi="Aptos"/>
                <w:b/>
                <w:color w:val="FFFFFF"/>
                <w:sz w:val="19"/>
              </w:rPr>
              <w:t>Permitted Behavior</w:t>
            </w:r>
          </w:p>
        </w:tc>
      </w:tr>
      <w:tr>
        <w:tc>
          <w:tcPr>
            <w:tcW w:type="dxa" w:w="2160"/>
            <w:tcMar>
              <w:top w:w="110" w:type="dxa"/>
              <w:start w:w="120" w:type="dxa"/>
              <w:bottom w:w="110" w:type="dxa"/>
              <w:end w:w="120" w:type="dxa"/>
            </w:tcMar>
          </w:tcPr>
          <w:p>
            <w:pPr>
              <w:jc w:val="left"/>
            </w:pPr>
            <w:r>
              <w:rPr>
                <w:rFonts w:ascii="Aptos" w:hAnsi="Aptos"/>
                <w:sz w:val="19"/>
              </w:rPr>
              <w:t>Recommend Only</w:t>
            </w:r>
          </w:p>
        </w:tc>
        <w:tc>
          <w:tcPr>
            <w:tcW w:type="dxa" w:w="6912"/>
            <w:tcMar>
              <w:top w:w="110" w:type="dxa"/>
              <w:start w:w="120" w:type="dxa"/>
              <w:bottom w:w="110" w:type="dxa"/>
              <w:end w:w="120" w:type="dxa"/>
            </w:tcMar>
          </w:tcPr>
          <w:p>
            <w:pPr>
              <w:jc w:val="left"/>
            </w:pPr>
            <w:r>
              <w:rPr>
                <w:rFonts w:ascii="Aptos" w:hAnsi="Aptos"/>
                <w:sz w:val="19"/>
              </w:rPr>
              <w:t>The system identifies an action and waits for a person to decide.</w:t>
            </w:r>
          </w:p>
        </w:tc>
      </w:tr>
      <w:tr>
        <w:tc>
          <w:tcPr>
            <w:tcW w:type="dxa" w:w="2160"/>
            <w:tcMar>
              <w:top w:w="110" w:type="dxa"/>
              <w:start w:w="120" w:type="dxa"/>
              <w:bottom w:w="110" w:type="dxa"/>
              <w:end w:w="120" w:type="dxa"/>
            </w:tcMar>
            <w:shd w:fill="F4F7F5"/>
          </w:tcPr>
          <w:p>
            <w:pPr>
              <w:jc w:val="left"/>
            </w:pPr>
            <w:r>
              <w:rPr>
                <w:rFonts w:ascii="Aptos" w:hAnsi="Aptos"/>
                <w:sz w:val="19"/>
              </w:rPr>
              <w:t>Approval Required</w:t>
            </w:r>
          </w:p>
        </w:tc>
        <w:tc>
          <w:tcPr>
            <w:tcW w:type="dxa" w:w="6912"/>
            <w:tcMar>
              <w:top w:w="110" w:type="dxa"/>
              <w:start w:w="120" w:type="dxa"/>
              <w:bottom w:w="110" w:type="dxa"/>
              <w:end w:w="120" w:type="dxa"/>
            </w:tcMar>
            <w:shd w:fill="F4F7F5"/>
          </w:tcPr>
          <w:p>
            <w:pPr>
              <w:jc w:val="left"/>
            </w:pPr>
            <w:r>
              <w:rPr>
                <w:rFonts w:ascii="Aptos" w:hAnsi="Aptos"/>
                <w:sz w:val="19"/>
              </w:rPr>
              <w:t>The system prepares the action but cannot execute until an authorized person approves.</w:t>
            </w:r>
          </w:p>
        </w:tc>
      </w:tr>
      <w:tr>
        <w:tc>
          <w:tcPr>
            <w:tcW w:type="dxa" w:w="2160"/>
            <w:tcMar>
              <w:top w:w="110" w:type="dxa"/>
              <w:start w:w="120" w:type="dxa"/>
              <w:bottom w:w="110" w:type="dxa"/>
              <w:end w:w="120" w:type="dxa"/>
            </w:tcMar>
          </w:tcPr>
          <w:p>
            <w:pPr>
              <w:jc w:val="left"/>
            </w:pPr>
            <w:r>
              <w:rPr>
                <w:rFonts w:ascii="Aptos" w:hAnsi="Aptos"/>
                <w:sz w:val="19"/>
              </w:rPr>
              <w:t>Limited Execution</w:t>
            </w:r>
          </w:p>
        </w:tc>
        <w:tc>
          <w:tcPr>
            <w:tcW w:type="dxa" w:w="6912"/>
            <w:tcMar>
              <w:top w:w="110" w:type="dxa"/>
              <w:start w:w="120" w:type="dxa"/>
              <w:bottom w:w="110" w:type="dxa"/>
              <w:end w:w="120" w:type="dxa"/>
            </w:tcMar>
          </w:tcPr>
          <w:p>
            <w:pPr>
              <w:jc w:val="left"/>
            </w:pPr>
            <w:r>
              <w:rPr>
                <w:rFonts w:ascii="Aptos" w:hAnsi="Aptos"/>
                <w:sz w:val="19"/>
              </w:rPr>
              <w:t>The system may execute low-risk actions inside predefined thresholds and policies.</w:t>
            </w:r>
          </w:p>
        </w:tc>
      </w:tr>
      <w:tr>
        <w:tc>
          <w:tcPr>
            <w:tcW w:type="dxa" w:w="2160"/>
            <w:tcMar>
              <w:top w:w="110" w:type="dxa"/>
              <w:start w:w="120" w:type="dxa"/>
              <w:bottom w:w="110" w:type="dxa"/>
              <w:end w:w="120" w:type="dxa"/>
            </w:tcMar>
            <w:shd w:fill="F4F7F5"/>
          </w:tcPr>
          <w:p>
            <w:pPr>
              <w:jc w:val="left"/>
            </w:pPr>
            <w:r>
              <w:rPr>
                <w:rFonts w:ascii="Aptos" w:hAnsi="Aptos"/>
                <w:sz w:val="19"/>
              </w:rPr>
              <w:t>Blocked / Escalated</w:t>
            </w:r>
          </w:p>
        </w:tc>
        <w:tc>
          <w:tcPr>
            <w:tcW w:type="dxa" w:w="6912"/>
            <w:tcMar>
              <w:top w:w="110" w:type="dxa"/>
              <w:start w:w="120" w:type="dxa"/>
              <w:bottom w:w="110" w:type="dxa"/>
              <w:end w:w="120" w:type="dxa"/>
            </w:tcMar>
            <w:shd w:fill="F4F7F5"/>
          </w:tcPr>
          <w:p>
            <w:pPr>
              <w:jc w:val="left"/>
            </w:pPr>
            <w:r>
              <w:rPr>
                <w:rFonts w:ascii="Aptos" w:hAnsi="Aptos"/>
                <w:sz w:val="19"/>
              </w:rPr>
              <w:t>The system must stop when a threshold, exception, safety concern or permission boundary is reached.</w:t>
            </w:r>
          </w:p>
        </w:tc>
      </w:tr>
    </w:tbl>
    <w:p>
      <w:pPr>
        <w:spacing w:after="40"/>
      </w:pPr>
    </w:p>
    <w:p>
      <w:pPr>
        <w:pStyle w:val="Heading1"/>
      </w:pPr>
      <w:r>
        <w:t>13. Enterprise Design Principles</w:t>
      </w:r>
    </w:p>
    <w:p>
      <w:pPr>
        <w:pStyle w:val="ListBullet"/>
        <w:spacing w:after="60"/>
      </w:pPr>
      <w:r>
        <w:rPr>
          <w:rFonts w:ascii="Aptos" w:hAnsi="Aptos"/>
          <w:sz w:val="21"/>
        </w:rPr>
        <w:t>Clarity before decoration.</w:t>
      </w:r>
    </w:p>
    <w:p>
      <w:pPr>
        <w:pStyle w:val="ListBullet"/>
        <w:spacing w:after="60"/>
      </w:pPr>
      <w:r>
        <w:rPr>
          <w:rFonts w:ascii="Aptos" w:hAnsi="Aptos"/>
          <w:sz w:val="21"/>
        </w:rPr>
        <w:t>Whitespace is a functional design element.</w:t>
      </w:r>
    </w:p>
    <w:p>
      <w:pPr>
        <w:pStyle w:val="ListBullet"/>
        <w:spacing w:after="60"/>
      </w:pPr>
      <w:r>
        <w:rPr>
          <w:rFonts w:ascii="Aptos" w:hAnsi="Aptos"/>
          <w:sz w:val="21"/>
        </w:rPr>
        <w:t>Cards summarize; detail pages explain.</w:t>
      </w:r>
    </w:p>
    <w:p>
      <w:pPr>
        <w:pStyle w:val="ListBullet"/>
        <w:spacing w:after="60"/>
      </w:pPr>
      <w:r>
        <w:rPr>
          <w:rFonts w:ascii="Aptos" w:hAnsi="Aptos"/>
          <w:sz w:val="21"/>
        </w:rPr>
        <w:t>Primary actions are obvious and limited.</w:t>
      </w:r>
    </w:p>
    <w:p>
      <w:pPr>
        <w:pStyle w:val="ListBullet"/>
        <w:spacing w:after="60"/>
      </w:pPr>
      <w:r>
        <w:rPr>
          <w:rFonts w:ascii="Aptos" w:hAnsi="Aptos"/>
          <w:sz w:val="21"/>
        </w:rPr>
        <w:t>Tables are readable, sortable and responsive.</w:t>
      </w:r>
    </w:p>
    <w:p>
      <w:pPr>
        <w:pStyle w:val="ListBullet"/>
        <w:spacing w:after="60"/>
      </w:pPr>
      <w:r>
        <w:rPr>
          <w:rFonts w:ascii="Aptos" w:hAnsi="Aptos"/>
          <w:sz w:val="21"/>
        </w:rPr>
        <w:t>Mobile experiences are designed, not merely shrunk.</w:t>
      </w:r>
    </w:p>
    <w:p>
      <w:pPr>
        <w:pStyle w:val="ListBullet"/>
        <w:spacing w:after="60"/>
      </w:pPr>
      <w:r>
        <w:rPr>
          <w:rFonts w:ascii="Aptos" w:hAnsi="Aptos"/>
          <w:sz w:val="21"/>
        </w:rPr>
        <w:t>Color communicates meaning consistently.</w:t>
      </w:r>
    </w:p>
    <w:p>
      <w:pPr>
        <w:pStyle w:val="ListBullet"/>
        <w:spacing w:after="60"/>
      </w:pPr>
      <w:r>
        <w:rPr>
          <w:rFonts w:ascii="Aptos" w:hAnsi="Aptos"/>
          <w:sz w:val="21"/>
        </w:rPr>
        <w:t>Icons support recognition but never replace clear labels.</w:t>
      </w:r>
    </w:p>
    <w:p>
      <w:pPr>
        <w:pStyle w:val="ListBullet"/>
        <w:spacing w:after="60"/>
      </w:pPr>
      <w:r>
        <w:rPr>
          <w:rFonts w:ascii="Aptos" w:hAnsi="Aptos"/>
          <w:sz w:val="21"/>
        </w:rPr>
        <w:t>Accessibility is a default requirement.</w:t>
      </w:r>
    </w:p>
    <w:p>
      <w:pPr>
        <w:pStyle w:val="ListBullet"/>
        <w:spacing w:after="60"/>
      </w:pPr>
      <w:r>
        <w:rPr>
          <w:rFonts w:ascii="Aptos" w:hAnsi="Aptos"/>
          <w:sz w:val="21"/>
        </w:rPr>
        <w:t>Users should reach common tasks within two interactions or through search/command palette.</w:t>
      </w:r>
    </w:p>
    <w:p>
      <w:pPr>
        <w:pStyle w:val="Heading1"/>
      </w:pPr>
      <w:r>
        <w:t>14. Security, Privacy and Trust</w:t>
      </w:r>
    </w:p>
    <w:p>
      <w:r>
        <w:t>Trust is a product feature. Irish Pub World must protect customer, employee, financial, operational and proprietary information throughout its lifecycle.</w:t>
      </w:r>
    </w:p>
    <w:tbl>
      <w:tblPr>
        <w:tblStyle w:val="TableGrid"/>
        <w:tblW w:type="auto" w:w="0"/>
        <w:jc w:val="center"/>
        <w:tblLook w:firstColumn="1" w:firstRow="1" w:lastColumn="0" w:lastRow="0" w:noHBand="0" w:noVBand="1" w:val="04A0"/>
      </w:tblPr>
      <w:tblGrid>
        <w:gridCol w:w="4896"/>
        <w:gridCol w:w="4896"/>
      </w:tblGrid>
      <w:tr>
        <w:tc>
          <w:tcPr>
            <w:tcW w:type="dxa" w:w="2088"/>
            <w:shd w:fill="1F6B4F"/>
            <w:tcMar>
              <w:top w:w="120" w:type="dxa"/>
              <w:start w:w="120" w:type="dxa"/>
              <w:bottom w:w="120" w:type="dxa"/>
              <w:end w:w="120" w:type="dxa"/>
            </w:tcMar>
            <w:vAlign w:val="center"/>
          </w:tcPr>
          <w:p>
            <w:pPr>
              <w:jc w:val="center"/>
            </w:pPr>
            <w:r>
              <w:rPr>
                <w:rFonts w:ascii="Aptos" w:hAnsi="Aptos"/>
                <w:b/>
                <w:color w:val="FFFFFF"/>
                <w:sz w:val="19"/>
              </w:rPr>
              <w:t>Domain</w:t>
            </w:r>
          </w:p>
        </w:tc>
        <w:tc>
          <w:tcPr>
            <w:tcW w:type="dxa" w:w="6983"/>
            <w:shd w:fill="1F6B4F"/>
            <w:tcMar>
              <w:top w:w="120" w:type="dxa"/>
              <w:start w:w="120" w:type="dxa"/>
              <w:bottom w:w="120" w:type="dxa"/>
              <w:end w:w="120" w:type="dxa"/>
            </w:tcMar>
            <w:vAlign w:val="center"/>
          </w:tcPr>
          <w:p>
            <w:pPr>
              <w:jc w:val="center"/>
            </w:pPr>
            <w:r>
              <w:rPr>
                <w:rFonts w:ascii="Aptos" w:hAnsi="Aptos"/>
                <w:b/>
                <w:color w:val="FFFFFF"/>
                <w:sz w:val="19"/>
              </w:rPr>
              <w:t>Constitutional Direction</w:t>
            </w:r>
          </w:p>
        </w:tc>
      </w:tr>
      <w:tr>
        <w:tc>
          <w:tcPr>
            <w:tcW w:type="dxa" w:w="2088"/>
            <w:tcMar>
              <w:top w:w="110" w:type="dxa"/>
              <w:start w:w="120" w:type="dxa"/>
              <w:bottom w:w="110" w:type="dxa"/>
              <w:end w:w="120" w:type="dxa"/>
            </w:tcMar>
          </w:tcPr>
          <w:p>
            <w:pPr>
              <w:jc w:val="left"/>
            </w:pPr>
            <w:r>
              <w:rPr>
                <w:rFonts w:ascii="Aptos" w:hAnsi="Aptos"/>
                <w:sz w:val="19"/>
              </w:rPr>
              <w:t>Identity</w:t>
            </w:r>
          </w:p>
        </w:tc>
        <w:tc>
          <w:tcPr>
            <w:tcW w:type="dxa" w:w="6983"/>
            <w:tcMar>
              <w:top w:w="110" w:type="dxa"/>
              <w:start w:w="120" w:type="dxa"/>
              <w:bottom w:w="110" w:type="dxa"/>
              <w:end w:w="120" w:type="dxa"/>
            </w:tcMar>
          </w:tcPr>
          <w:p>
            <w:pPr>
              <w:jc w:val="left"/>
            </w:pPr>
            <w:r>
              <w:rPr>
                <w:rFonts w:ascii="Aptos" w:hAnsi="Aptos"/>
                <w:sz w:val="19"/>
              </w:rPr>
              <w:t>Strong authentication, secure sessions and account recovery</w:t>
            </w:r>
          </w:p>
        </w:tc>
      </w:tr>
      <w:tr>
        <w:tc>
          <w:tcPr>
            <w:tcW w:type="dxa" w:w="2088"/>
            <w:tcMar>
              <w:top w:w="110" w:type="dxa"/>
              <w:start w:w="120" w:type="dxa"/>
              <w:bottom w:w="110" w:type="dxa"/>
              <w:end w:w="120" w:type="dxa"/>
            </w:tcMar>
            <w:shd w:fill="F4F7F5"/>
          </w:tcPr>
          <w:p>
            <w:pPr>
              <w:jc w:val="left"/>
            </w:pPr>
            <w:r>
              <w:rPr>
                <w:rFonts w:ascii="Aptos" w:hAnsi="Aptos"/>
                <w:sz w:val="19"/>
              </w:rPr>
              <w:t>Authorization</w:t>
            </w:r>
          </w:p>
        </w:tc>
        <w:tc>
          <w:tcPr>
            <w:tcW w:type="dxa" w:w="6983"/>
            <w:tcMar>
              <w:top w:w="110" w:type="dxa"/>
              <w:start w:w="120" w:type="dxa"/>
              <w:bottom w:w="110" w:type="dxa"/>
              <w:end w:w="120" w:type="dxa"/>
            </w:tcMar>
            <w:shd w:fill="F4F7F5"/>
          </w:tcPr>
          <w:p>
            <w:pPr>
              <w:jc w:val="left"/>
            </w:pPr>
            <w:r>
              <w:rPr>
                <w:rFonts w:ascii="Aptos" w:hAnsi="Aptos"/>
                <w:sz w:val="19"/>
              </w:rPr>
              <w:t>Role, location, object and action-level permissions</w:t>
            </w:r>
          </w:p>
        </w:tc>
      </w:tr>
      <w:tr>
        <w:tc>
          <w:tcPr>
            <w:tcW w:type="dxa" w:w="2088"/>
            <w:tcMar>
              <w:top w:w="110" w:type="dxa"/>
              <w:start w:w="120" w:type="dxa"/>
              <w:bottom w:w="110" w:type="dxa"/>
              <w:end w:w="120" w:type="dxa"/>
            </w:tcMar>
          </w:tcPr>
          <w:p>
            <w:pPr>
              <w:jc w:val="left"/>
            </w:pPr>
            <w:r>
              <w:rPr>
                <w:rFonts w:ascii="Aptos" w:hAnsi="Aptos"/>
                <w:sz w:val="19"/>
              </w:rPr>
              <w:t>Tenant Isolation</w:t>
            </w:r>
          </w:p>
        </w:tc>
        <w:tc>
          <w:tcPr>
            <w:tcW w:type="dxa" w:w="6983"/>
            <w:tcMar>
              <w:top w:w="110" w:type="dxa"/>
              <w:start w:w="120" w:type="dxa"/>
              <w:bottom w:w="110" w:type="dxa"/>
              <w:end w:w="120" w:type="dxa"/>
            </w:tcMar>
          </w:tcPr>
          <w:p>
            <w:pPr>
              <w:jc w:val="left"/>
            </w:pPr>
            <w:r>
              <w:rPr>
                <w:rFonts w:ascii="Aptos" w:hAnsi="Aptos"/>
                <w:sz w:val="19"/>
              </w:rPr>
              <w:t>No unauthorized data access across pubs or groups</w:t>
            </w:r>
          </w:p>
        </w:tc>
      </w:tr>
      <w:tr>
        <w:tc>
          <w:tcPr>
            <w:tcW w:type="dxa" w:w="2088"/>
            <w:tcMar>
              <w:top w:w="110" w:type="dxa"/>
              <w:start w:w="120" w:type="dxa"/>
              <w:bottom w:w="110" w:type="dxa"/>
              <w:end w:w="120" w:type="dxa"/>
            </w:tcMar>
            <w:shd w:fill="F4F7F5"/>
          </w:tcPr>
          <w:p>
            <w:pPr>
              <w:jc w:val="left"/>
            </w:pPr>
            <w:r>
              <w:rPr>
                <w:rFonts w:ascii="Aptos" w:hAnsi="Aptos"/>
                <w:sz w:val="19"/>
              </w:rPr>
              <w:t>Encryption</w:t>
            </w:r>
          </w:p>
        </w:tc>
        <w:tc>
          <w:tcPr>
            <w:tcW w:type="dxa" w:w="6983"/>
            <w:tcMar>
              <w:top w:w="110" w:type="dxa"/>
              <w:start w:w="120" w:type="dxa"/>
              <w:bottom w:w="110" w:type="dxa"/>
              <w:end w:w="120" w:type="dxa"/>
            </w:tcMar>
            <w:shd w:fill="F4F7F5"/>
          </w:tcPr>
          <w:p>
            <w:pPr>
              <w:jc w:val="left"/>
            </w:pPr>
            <w:r>
              <w:rPr>
                <w:rFonts w:ascii="Aptos" w:hAnsi="Aptos"/>
                <w:sz w:val="19"/>
              </w:rPr>
              <w:t>Protection in transit and at rest</w:t>
            </w:r>
          </w:p>
        </w:tc>
      </w:tr>
      <w:tr>
        <w:tc>
          <w:tcPr>
            <w:tcW w:type="dxa" w:w="2088"/>
            <w:tcMar>
              <w:top w:w="110" w:type="dxa"/>
              <w:start w:w="120" w:type="dxa"/>
              <w:bottom w:w="110" w:type="dxa"/>
              <w:end w:w="120" w:type="dxa"/>
            </w:tcMar>
          </w:tcPr>
          <w:p>
            <w:pPr>
              <w:jc w:val="left"/>
            </w:pPr>
            <w:r>
              <w:rPr>
                <w:rFonts w:ascii="Aptos" w:hAnsi="Aptos"/>
                <w:sz w:val="19"/>
              </w:rPr>
              <w:t>Audit</w:t>
            </w:r>
          </w:p>
        </w:tc>
        <w:tc>
          <w:tcPr>
            <w:tcW w:type="dxa" w:w="6983"/>
            <w:tcMar>
              <w:top w:w="110" w:type="dxa"/>
              <w:start w:w="120" w:type="dxa"/>
              <w:bottom w:w="110" w:type="dxa"/>
              <w:end w:w="120" w:type="dxa"/>
            </w:tcMar>
          </w:tcPr>
          <w:p>
            <w:pPr>
              <w:jc w:val="left"/>
            </w:pPr>
            <w:r>
              <w:rPr>
                <w:rFonts w:ascii="Aptos" w:hAnsi="Aptos"/>
                <w:sz w:val="19"/>
              </w:rPr>
              <w:t>Traceable access, changes, approvals and AI actions</w:t>
            </w:r>
          </w:p>
        </w:tc>
      </w:tr>
      <w:tr>
        <w:tc>
          <w:tcPr>
            <w:tcW w:type="dxa" w:w="2088"/>
            <w:tcMar>
              <w:top w:w="110" w:type="dxa"/>
              <w:start w:w="120" w:type="dxa"/>
              <w:bottom w:w="110" w:type="dxa"/>
              <w:end w:w="120" w:type="dxa"/>
            </w:tcMar>
            <w:shd w:fill="F4F7F5"/>
          </w:tcPr>
          <w:p>
            <w:pPr>
              <w:jc w:val="left"/>
            </w:pPr>
            <w:r>
              <w:rPr>
                <w:rFonts w:ascii="Aptos" w:hAnsi="Aptos"/>
                <w:sz w:val="19"/>
              </w:rPr>
              <w:t>Retention</w:t>
            </w:r>
          </w:p>
        </w:tc>
        <w:tc>
          <w:tcPr>
            <w:tcW w:type="dxa" w:w="6983"/>
            <w:tcMar>
              <w:top w:w="110" w:type="dxa"/>
              <w:start w:w="120" w:type="dxa"/>
              <w:bottom w:w="110" w:type="dxa"/>
              <w:end w:w="120" w:type="dxa"/>
            </w:tcMar>
            <w:shd w:fill="F4F7F5"/>
          </w:tcPr>
          <w:p>
            <w:pPr>
              <w:jc w:val="left"/>
            </w:pPr>
            <w:r>
              <w:rPr>
                <w:rFonts w:ascii="Aptos" w:hAnsi="Aptos"/>
                <w:sz w:val="19"/>
              </w:rPr>
              <w:t>Purpose-based retention and defensible deletion</w:t>
            </w:r>
          </w:p>
        </w:tc>
      </w:tr>
      <w:tr>
        <w:tc>
          <w:tcPr>
            <w:tcW w:type="dxa" w:w="2088"/>
            <w:tcMar>
              <w:top w:w="110" w:type="dxa"/>
              <w:start w:w="120" w:type="dxa"/>
              <w:bottom w:w="110" w:type="dxa"/>
              <w:end w:w="120" w:type="dxa"/>
            </w:tcMar>
          </w:tcPr>
          <w:p>
            <w:pPr>
              <w:jc w:val="left"/>
            </w:pPr>
            <w:r>
              <w:rPr>
                <w:rFonts w:ascii="Aptos" w:hAnsi="Aptos"/>
                <w:sz w:val="19"/>
              </w:rPr>
              <w:t>Backups</w:t>
            </w:r>
          </w:p>
        </w:tc>
        <w:tc>
          <w:tcPr>
            <w:tcW w:type="dxa" w:w="6983"/>
            <w:tcMar>
              <w:top w:w="110" w:type="dxa"/>
              <w:start w:w="120" w:type="dxa"/>
              <w:bottom w:w="110" w:type="dxa"/>
              <w:end w:w="120" w:type="dxa"/>
            </w:tcMar>
          </w:tcPr>
          <w:p>
            <w:pPr>
              <w:jc w:val="left"/>
            </w:pPr>
            <w:r>
              <w:rPr>
                <w:rFonts w:ascii="Aptos" w:hAnsi="Aptos"/>
                <w:sz w:val="19"/>
              </w:rPr>
              <w:t>Tested recovery and continuity procedures</w:t>
            </w:r>
          </w:p>
        </w:tc>
      </w:tr>
      <w:tr>
        <w:tc>
          <w:tcPr>
            <w:tcW w:type="dxa" w:w="2088"/>
            <w:tcMar>
              <w:top w:w="110" w:type="dxa"/>
              <w:start w:w="120" w:type="dxa"/>
              <w:bottom w:w="110" w:type="dxa"/>
              <w:end w:w="120" w:type="dxa"/>
            </w:tcMar>
            <w:shd w:fill="F4F7F5"/>
          </w:tcPr>
          <w:p>
            <w:pPr>
              <w:jc w:val="left"/>
            </w:pPr>
            <w:r>
              <w:rPr>
                <w:rFonts w:ascii="Aptos" w:hAnsi="Aptos"/>
                <w:sz w:val="19"/>
              </w:rPr>
              <w:t>Integrations</w:t>
            </w:r>
          </w:p>
        </w:tc>
        <w:tc>
          <w:tcPr>
            <w:tcW w:type="dxa" w:w="6983"/>
            <w:tcMar>
              <w:top w:w="110" w:type="dxa"/>
              <w:start w:w="120" w:type="dxa"/>
              <w:bottom w:w="110" w:type="dxa"/>
              <w:end w:w="120" w:type="dxa"/>
            </w:tcMar>
            <w:shd w:fill="F4F7F5"/>
          </w:tcPr>
          <w:p>
            <w:pPr>
              <w:jc w:val="left"/>
            </w:pPr>
            <w:r>
              <w:rPr>
                <w:rFonts w:ascii="Aptos" w:hAnsi="Aptos"/>
                <w:sz w:val="19"/>
              </w:rPr>
              <w:t>Secure credentials, scopes, monitoring and revocation</w:t>
            </w:r>
          </w:p>
        </w:tc>
      </w:tr>
      <w:tr>
        <w:tc>
          <w:tcPr>
            <w:tcW w:type="dxa" w:w="2088"/>
            <w:tcMar>
              <w:top w:w="110" w:type="dxa"/>
              <w:start w:w="120" w:type="dxa"/>
              <w:bottom w:w="110" w:type="dxa"/>
              <w:end w:w="120" w:type="dxa"/>
            </w:tcMar>
          </w:tcPr>
          <w:p>
            <w:pPr>
              <w:jc w:val="left"/>
            </w:pPr>
            <w:r>
              <w:rPr>
                <w:rFonts w:ascii="Aptos" w:hAnsi="Aptos"/>
                <w:sz w:val="19"/>
              </w:rPr>
              <w:t>Incident Response</w:t>
            </w:r>
          </w:p>
        </w:tc>
        <w:tc>
          <w:tcPr>
            <w:tcW w:type="dxa" w:w="6983"/>
            <w:tcMar>
              <w:top w:w="110" w:type="dxa"/>
              <w:start w:w="120" w:type="dxa"/>
              <w:bottom w:w="110" w:type="dxa"/>
              <w:end w:w="120" w:type="dxa"/>
            </w:tcMar>
          </w:tcPr>
          <w:p>
            <w:pPr>
              <w:jc w:val="left"/>
            </w:pPr>
            <w:r>
              <w:rPr>
                <w:rFonts w:ascii="Aptos" w:hAnsi="Aptos"/>
                <w:sz w:val="19"/>
              </w:rPr>
              <w:t>Defined detection, escalation, communication and recovery</w:t>
            </w:r>
          </w:p>
        </w:tc>
      </w:tr>
    </w:tbl>
    <w:p>
      <w:pPr>
        <w:spacing w:after="40"/>
      </w:pPr>
    </w:p>
    <w:p>
      <w:pPr>
        <w:pStyle w:val="Heading1"/>
      </w:pPr>
      <w:r>
        <w:t>15. Product and Development Standards</w:t>
      </w:r>
    </w:p>
    <w:p>
      <w:pPr>
        <w:pStyle w:val="ListBullet"/>
        <w:spacing w:after="60"/>
      </w:pPr>
      <w:r>
        <w:rPr>
          <w:rFonts w:ascii="Aptos" w:hAnsi="Aptos"/>
          <w:sz w:val="21"/>
        </w:rPr>
        <w:t>Every feature requires a written outcome, owner and acceptance criteria.</w:t>
      </w:r>
    </w:p>
    <w:p>
      <w:pPr>
        <w:pStyle w:val="ListBullet"/>
        <w:spacing w:after="60"/>
      </w:pPr>
      <w:r>
        <w:rPr>
          <w:rFonts w:ascii="Aptos" w:hAnsi="Aptos"/>
          <w:sz w:val="21"/>
        </w:rPr>
        <w:t>Shared platform capabilities should be reused rather than rebuilt inside each product.</w:t>
      </w:r>
    </w:p>
    <w:p>
      <w:pPr>
        <w:pStyle w:val="ListBullet"/>
        <w:spacing w:after="60"/>
      </w:pPr>
      <w:r>
        <w:rPr>
          <w:rFonts w:ascii="Aptos" w:hAnsi="Aptos"/>
          <w:sz w:val="21"/>
        </w:rPr>
        <w:t>APIs and events should be versioned and documented.</w:t>
      </w:r>
    </w:p>
    <w:p>
      <w:pPr>
        <w:pStyle w:val="ListBullet"/>
        <w:spacing w:after="60"/>
      </w:pPr>
      <w:r>
        <w:rPr>
          <w:rFonts w:ascii="Aptos" w:hAnsi="Aptos"/>
          <w:sz w:val="21"/>
        </w:rPr>
        <w:t>Automated tests should cover critical workflows and permissions.</w:t>
      </w:r>
    </w:p>
    <w:p>
      <w:pPr>
        <w:pStyle w:val="ListBullet"/>
        <w:spacing w:after="60"/>
      </w:pPr>
      <w:r>
        <w:rPr>
          <w:rFonts w:ascii="Aptos" w:hAnsi="Aptos"/>
          <w:sz w:val="21"/>
        </w:rPr>
        <w:t>Code reviews are mandatory for production changes.</w:t>
      </w:r>
    </w:p>
    <w:p>
      <w:pPr>
        <w:pStyle w:val="ListBullet"/>
        <w:spacing w:after="60"/>
      </w:pPr>
      <w:r>
        <w:rPr>
          <w:rFonts w:ascii="Aptos" w:hAnsi="Aptos"/>
          <w:sz w:val="21"/>
        </w:rPr>
        <w:t>Releases should be observable, reversible and documented.</w:t>
      </w:r>
    </w:p>
    <w:p>
      <w:pPr>
        <w:pStyle w:val="ListBullet"/>
        <w:spacing w:after="60"/>
      </w:pPr>
      <w:r>
        <w:rPr>
          <w:rFonts w:ascii="Aptos" w:hAnsi="Aptos"/>
          <w:sz w:val="21"/>
        </w:rPr>
        <w:t>Performance budgets should prevent the platform from returning to oversized single-file prototypes.</w:t>
      </w:r>
    </w:p>
    <w:p>
      <w:pPr>
        <w:pStyle w:val="ListBullet"/>
        <w:spacing w:after="60"/>
      </w:pPr>
      <w:r>
        <w:rPr>
          <w:rFonts w:ascii="Aptos" w:hAnsi="Aptos"/>
          <w:sz w:val="21"/>
        </w:rPr>
        <w:t>Technical debt should be visible, prioritized and governed.</w:t>
      </w:r>
    </w:p>
    <w:p>
      <w:pPr>
        <w:pStyle w:val="ListBullet"/>
        <w:spacing w:after="60"/>
      </w:pPr>
      <w:r>
        <w:rPr>
          <w:rFonts w:ascii="Aptos" w:hAnsi="Aptos"/>
          <w:sz w:val="21"/>
        </w:rPr>
        <w:t>Every production feature must include audit, error and support considerations.</w:t>
      </w:r>
    </w:p>
    <w:p>
      <w:pPr>
        <w:pStyle w:val="Heading1"/>
      </w:pPr>
      <w:r>
        <w:t>16. Data Principles</w:t>
      </w:r>
    </w:p>
    <w:tbl>
      <w:tblPr>
        <w:tblStyle w:val="TableGrid"/>
        <w:tblW w:type="auto" w:w="0"/>
        <w:jc w:val="center"/>
        <w:tblLook w:firstColumn="1" w:firstRow="1" w:lastColumn="0" w:lastRow="0" w:noHBand="0" w:noVBand="1" w:val="04A0"/>
      </w:tblPr>
      <w:tblGrid>
        <w:gridCol w:w="4896"/>
        <w:gridCol w:w="4896"/>
      </w:tblGrid>
      <w:tr>
        <w:tc>
          <w:tcPr>
            <w:tcW w:type="dxa" w:w="2232"/>
            <w:shd w:fill="1F6B4F"/>
            <w:tcMar>
              <w:top w:w="120" w:type="dxa"/>
              <w:start w:w="120" w:type="dxa"/>
              <w:bottom w:w="120" w:type="dxa"/>
              <w:end w:w="120" w:type="dxa"/>
            </w:tcMar>
            <w:vAlign w:val="center"/>
          </w:tcPr>
          <w:p>
            <w:pPr>
              <w:jc w:val="center"/>
            </w:pPr>
            <w:r>
              <w:rPr>
                <w:rFonts w:ascii="Aptos" w:hAnsi="Aptos"/>
                <w:b/>
                <w:color w:val="FFFFFF"/>
                <w:sz w:val="19"/>
              </w:rPr>
              <w:t>Principle</w:t>
            </w:r>
          </w:p>
        </w:tc>
        <w:tc>
          <w:tcPr>
            <w:tcW w:type="dxa" w:w="6840"/>
            <w:shd w:fill="1F6B4F"/>
            <w:tcMar>
              <w:top w:w="120" w:type="dxa"/>
              <w:start w:w="120" w:type="dxa"/>
              <w:bottom w:w="120" w:type="dxa"/>
              <w:end w:w="120" w:type="dxa"/>
            </w:tcMar>
            <w:vAlign w:val="center"/>
          </w:tcPr>
          <w:p>
            <w:pPr>
              <w:jc w:val="center"/>
            </w:pPr>
            <w:r>
              <w:rPr>
                <w:rFonts w:ascii="Aptos" w:hAnsi="Aptos"/>
                <w:b/>
                <w:color w:val="FFFFFF"/>
                <w:sz w:val="19"/>
              </w:rPr>
              <w:t>Application</w:t>
            </w:r>
          </w:p>
        </w:tc>
      </w:tr>
      <w:tr>
        <w:tc>
          <w:tcPr>
            <w:tcW w:type="dxa" w:w="2232"/>
            <w:tcMar>
              <w:top w:w="110" w:type="dxa"/>
              <w:start w:w="120" w:type="dxa"/>
              <w:bottom w:w="110" w:type="dxa"/>
              <w:end w:w="120" w:type="dxa"/>
            </w:tcMar>
          </w:tcPr>
          <w:p>
            <w:pPr>
              <w:jc w:val="left"/>
            </w:pPr>
            <w:r>
              <w:rPr>
                <w:rFonts w:ascii="Aptos" w:hAnsi="Aptos"/>
                <w:sz w:val="19"/>
              </w:rPr>
              <w:t>Purpose Limitation</w:t>
            </w:r>
          </w:p>
        </w:tc>
        <w:tc>
          <w:tcPr>
            <w:tcW w:type="dxa" w:w="6840"/>
            <w:tcMar>
              <w:top w:w="110" w:type="dxa"/>
              <w:start w:w="120" w:type="dxa"/>
              <w:bottom w:w="110" w:type="dxa"/>
              <w:end w:w="120" w:type="dxa"/>
            </w:tcMar>
          </w:tcPr>
          <w:p>
            <w:pPr>
              <w:jc w:val="left"/>
            </w:pPr>
            <w:r>
              <w:rPr>
                <w:rFonts w:ascii="Aptos" w:hAnsi="Aptos"/>
                <w:sz w:val="19"/>
              </w:rPr>
              <w:t>Collect data because it supports a defined operational or customer outcome.</w:t>
            </w:r>
          </w:p>
        </w:tc>
      </w:tr>
      <w:tr>
        <w:tc>
          <w:tcPr>
            <w:tcW w:type="dxa" w:w="2232"/>
            <w:tcMar>
              <w:top w:w="110" w:type="dxa"/>
              <w:start w:w="120" w:type="dxa"/>
              <w:bottom w:w="110" w:type="dxa"/>
              <w:end w:w="120" w:type="dxa"/>
            </w:tcMar>
            <w:shd w:fill="F4F7F5"/>
          </w:tcPr>
          <w:p>
            <w:pPr>
              <w:jc w:val="left"/>
            </w:pPr>
            <w:r>
              <w:rPr>
                <w:rFonts w:ascii="Aptos" w:hAnsi="Aptos"/>
                <w:sz w:val="19"/>
              </w:rPr>
              <w:t>Data Quality</w:t>
            </w:r>
          </w:p>
        </w:tc>
        <w:tc>
          <w:tcPr>
            <w:tcW w:type="dxa" w:w="6840"/>
            <w:tcMar>
              <w:top w:w="110" w:type="dxa"/>
              <w:start w:w="120" w:type="dxa"/>
              <w:bottom w:w="110" w:type="dxa"/>
              <w:end w:w="120" w:type="dxa"/>
            </w:tcMar>
            <w:shd w:fill="F4F7F5"/>
          </w:tcPr>
          <w:p>
            <w:pPr>
              <w:jc w:val="left"/>
            </w:pPr>
            <w:r>
              <w:rPr>
                <w:rFonts w:ascii="Aptos" w:hAnsi="Aptos"/>
                <w:sz w:val="19"/>
              </w:rPr>
              <w:t>Owners, validation rules and correction processes must be defined.</w:t>
            </w:r>
          </w:p>
        </w:tc>
      </w:tr>
      <w:tr>
        <w:tc>
          <w:tcPr>
            <w:tcW w:type="dxa" w:w="2232"/>
            <w:tcMar>
              <w:top w:w="110" w:type="dxa"/>
              <w:start w:w="120" w:type="dxa"/>
              <w:bottom w:w="110" w:type="dxa"/>
              <w:end w:w="120" w:type="dxa"/>
            </w:tcMar>
          </w:tcPr>
          <w:p>
            <w:pPr>
              <w:jc w:val="left"/>
            </w:pPr>
            <w:r>
              <w:rPr>
                <w:rFonts w:ascii="Aptos" w:hAnsi="Aptos"/>
                <w:sz w:val="19"/>
              </w:rPr>
              <w:t>Canonical Records</w:t>
            </w:r>
          </w:p>
        </w:tc>
        <w:tc>
          <w:tcPr>
            <w:tcW w:type="dxa" w:w="6840"/>
            <w:tcMar>
              <w:top w:w="110" w:type="dxa"/>
              <w:start w:w="120" w:type="dxa"/>
              <w:bottom w:w="110" w:type="dxa"/>
              <w:end w:w="120" w:type="dxa"/>
            </w:tcMar>
          </w:tcPr>
          <w:p>
            <w:pPr>
              <w:jc w:val="left"/>
            </w:pPr>
            <w:r>
              <w:rPr>
                <w:rFonts w:ascii="Aptos" w:hAnsi="Aptos"/>
                <w:sz w:val="19"/>
              </w:rPr>
              <w:t>One authoritative record should exist for each governed object.</w:t>
            </w:r>
          </w:p>
        </w:tc>
      </w:tr>
      <w:tr>
        <w:tc>
          <w:tcPr>
            <w:tcW w:type="dxa" w:w="2232"/>
            <w:tcMar>
              <w:top w:w="110" w:type="dxa"/>
              <w:start w:w="120" w:type="dxa"/>
              <w:bottom w:w="110" w:type="dxa"/>
              <w:end w:w="120" w:type="dxa"/>
            </w:tcMar>
            <w:shd w:fill="F4F7F5"/>
          </w:tcPr>
          <w:p>
            <w:pPr>
              <w:jc w:val="left"/>
            </w:pPr>
            <w:r>
              <w:rPr>
                <w:rFonts w:ascii="Aptos" w:hAnsi="Aptos"/>
                <w:sz w:val="19"/>
              </w:rPr>
              <w:t>Interoperability</w:t>
            </w:r>
          </w:p>
        </w:tc>
        <w:tc>
          <w:tcPr>
            <w:tcW w:type="dxa" w:w="6840"/>
            <w:tcMar>
              <w:top w:w="110" w:type="dxa"/>
              <w:start w:w="120" w:type="dxa"/>
              <w:bottom w:w="110" w:type="dxa"/>
              <w:end w:w="120" w:type="dxa"/>
            </w:tcMar>
            <w:shd w:fill="F4F7F5"/>
          </w:tcPr>
          <w:p>
            <w:pPr>
              <w:jc w:val="left"/>
            </w:pPr>
            <w:r>
              <w:rPr>
                <w:rFonts w:ascii="Aptos" w:hAnsi="Aptos"/>
                <w:sz w:val="19"/>
              </w:rPr>
              <w:t>Core objects should be accessible through stable APIs and events.</w:t>
            </w:r>
          </w:p>
        </w:tc>
      </w:tr>
      <w:tr>
        <w:tc>
          <w:tcPr>
            <w:tcW w:type="dxa" w:w="2232"/>
            <w:tcMar>
              <w:top w:w="110" w:type="dxa"/>
              <w:start w:w="120" w:type="dxa"/>
              <w:bottom w:w="110" w:type="dxa"/>
              <w:end w:w="120" w:type="dxa"/>
            </w:tcMar>
          </w:tcPr>
          <w:p>
            <w:pPr>
              <w:jc w:val="left"/>
            </w:pPr>
            <w:r>
              <w:rPr>
                <w:rFonts w:ascii="Aptos" w:hAnsi="Aptos"/>
                <w:sz w:val="19"/>
              </w:rPr>
              <w:t>History</w:t>
            </w:r>
          </w:p>
        </w:tc>
        <w:tc>
          <w:tcPr>
            <w:tcW w:type="dxa" w:w="6840"/>
            <w:tcMar>
              <w:top w:w="110" w:type="dxa"/>
              <w:start w:w="120" w:type="dxa"/>
              <w:bottom w:w="110" w:type="dxa"/>
              <w:end w:w="120" w:type="dxa"/>
            </w:tcMar>
          </w:tcPr>
          <w:p>
            <w:pPr>
              <w:jc w:val="left"/>
            </w:pPr>
            <w:r>
              <w:rPr>
                <w:rFonts w:ascii="Aptos" w:hAnsi="Aptos"/>
                <w:sz w:val="19"/>
              </w:rPr>
              <w:t>Material changes should retain version and audit history.</w:t>
            </w:r>
          </w:p>
        </w:tc>
      </w:tr>
      <w:tr>
        <w:tc>
          <w:tcPr>
            <w:tcW w:type="dxa" w:w="2232"/>
            <w:tcMar>
              <w:top w:w="110" w:type="dxa"/>
              <w:start w:w="120" w:type="dxa"/>
              <w:bottom w:w="110" w:type="dxa"/>
              <w:end w:w="120" w:type="dxa"/>
            </w:tcMar>
            <w:shd w:fill="F4F7F5"/>
          </w:tcPr>
          <w:p>
            <w:pPr>
              <w:jc w:val="left"/>
            </w:pPr>
            <w:r>
              <w:rPr>
                <w:rFonts w:ascii="Aptos" w:hAnsi="Aptos"/>
                <w:sz w:val="19"/>
              </w:rPr>
              <w:t>Analytics Separation</w:t>
            </w:r>
          </w:p>
        </w:tc>
        <w:tc>
          <w:tcPr>
            <w:tcW w:type="dxa" w:w="6840"/>
            <w:tcMar>
              <w:top w:w="110" w:type="dxa"/>
              <w:start w:w="120" w:type="dxa"/>
              <w:bottom w:w="110" w:type="dxa"/>
              <w:end w:w="120" w:type="dxa"/>
            </w:tcMar>
            <w:shd w:fill="F4F7F5"/>
          </w:tcPr>
          <w:p>
            <w:pPr>
              <w:jc w:val="left"/>
            </w:pPr>
            <w:r>
              <w:rPr>
                <w:rFonts w:ascii="Aptos" w:hAnsi="Aptos"/>
                <w:sz w:val="19"/>
              </w:rPr>
              <w:t>Reporting should not compromise transactional performance or access controls.</w:t>
            </w:r>
          </w:p>
        </w:tc>
      </w:tr>
      <w:tr>
        <w:tc>
          <w:tcPr>
            <w:tcW w:type="dxa" w:w="2232"/>
            <w:tcMar>
              <w:top w:w="110" w:type="dxa"/>
              <w:start w:w="120" w:type="dxa"/>
              <w:bottom w:w="110" w:type="dxa"/>
              <w:end w:w="120" w:type="dxa"/>
            </w:tcMar>
          </w:tcPr>
          <w:p>
            <w:pPr>
              <w:jc w:val="left"/>
            </w:pPr>
            <w:r>
              <w:rPr>
                <w:rFonts w:ascii="Aptos" w:hAnsi="Aptos"/>
                <w:sz w:val="19"/>
              </w:rPr>
              <w:t>Benchmarking Privacy</w:t>
            </w:r>
          </w:p>
        </w:tc>
        <w:tc>
          <w:tcPr>
            <w:tcW w:type="dxa" w:w="6840"/>
            <w:tcMar>
              <w:top w:w="110" w:type="dxa"/>
              <w:start w:w="120" w:type="dxa"/>
              <w:bottom w:w="110" w:type="dxa"/>
              <w:end w:w="120" w:type="dxa"/>
            </w:tcMar>
          </w:tcPr>
          <w:p>
            <w:pPr>
              <w:jc w:val="left"/>
            </w:pPr>
            <w:r>
              <w:rPr>
                <w:rFonts w:ascii="Aptos" w:hAnsi="Aptos"/>
                <w:sz w:val="19"/>
              </w:rPr>
              <w:t>Network comparisons should use suitable aggregation and anonymization.</w:t>
            </w:r>
          </w:p>
        </w:tc>
      </w:tr>
    </w:tbl>
    <w:p>
      <w:pPr>
        <w:spacing w:after="40"/>
      </w:pPr>
    </w:p>
    <w:p>
      <w:pPr>
        <w:pStyle w:val="Heading1"/>
      </w:pPr>
      <w:r>
        <w:t>17. Commercial Principles</w:t>
      </w:r>
    </w:p>
    <w:p>
      <w:r>
        <w:t>Commercial growth must reinforce the platform’s mission and customer trust.</w:t>
      </w:r>
    </w:p>
    <w:p>
      <w:pPr>
        <w:pStyle w:val="ListBullet"/>
        <w:spacing w:after="60"/>
      </w:pPr>
      <w:r>
        <w:rPr>
          <w:rFonts w:ascii="Aptos" w:hAnsi="Aptos"/>
          <w:sz w:val="21"/>
        </w:rPr>
        <w:t>Subscriptions should reflect clear customer outcomes, not artificial complexity.</w:t>
      </w:r>
    </w:p>
    <w:p>
      <w:pPr>
        <w:pStyle w:val="ListBullet"/>
        <w:spacing w:after="60"/>
      </w:pPr>
      <w:r>
        <w:rPr>
          <w:rFonts w:ascii="Aptos" w:hAnsi="Aptos"/>
          <w:sz w:val="21"/>
        </w:rPr>
        <w:t>Marketplace participation should be governed, transparent and quality-assured.</w:t>
      </w:r>
    </w:p>
    <w:p>
      <w:pPr>
        <w:pStyle w:val="ListBullet"/>
        <w:spacing w:after="60"/>
      </w:pPr>
      <w:r>
        <w:rPr>
          <w:rFonts w:ascii="Aptos" w:hAnsi="Aptos"/>
          <w:sz w:val="21"/>
        </w:rPr>
        <w:t>Supplier relationships must not compromise editorial or operational independence.</w:t>
      </w:r>
    </w:p>
    <w:p>
      <w:pPr>
        <w:pStyle w:val="ListBullet"/>
        <w:spacing w:after="60"/>
      </w:pPr>
      <w:r>
        <w:rPr>
          <w:rFonts w:ascii="Aptos" w:hAnsi="Aptos"/>
          <w:sz w:val="21"/>
        </w:rPr>
        <w:t>Customer data must never be treated as an unrestricted commercial asset.</w:t>
      </w:r>
    </w:p>
    <w:p>
      <w:pPr>
        <w:pStyle w:val="ListBullet"/>
        <w:spacing w:after="60"/>
      </w:pPr>
      <w:r>
        <w:rPr>
          <w:rFonts w:ascii="Aptos" w:hAnsi="Aptos"/>
          <w:sz w:val="21"/>
        </w:rPr>
        <w:t>Product packaging should allow pubs to begin simply and expand as value becomes evident.</w:t>
      </w:r>
    </w:p>
    <w:p>
      <w:pPr>
        <w:pStyle w:val="ListBullet"/>
        <w:spacing w:after="60"/>
      </w:pPr>
      <w:r>
        <w:rPr>
          <w:rFonts w:ascii="Aptos" w:hAnsi="Aptos"/>
          <w:sz w:val="21"/>
        </w:rPr>
        <w:t>The Academy, marketplace, certification and network should strengthen the core platform rather than fragment it.</w:t>
      </w:r>
    </w:p>
    <w:p>
      <w:pPr>
        <w:pStyle w:val="Heading1"/>
      </w:pPr>
      <w:r>
        <w:t>18. Certification and Excellence</w:t>
      </w:r>
    </w:p>
    <w:p>
      <w:r>
        <w:t>Irish Pub World may establish pub, team and individual recognition programmes. Any score, badge or certification must use transparent criteria, suitable evidence and an appeal or correction process.</w:t>
      </w:r>
    </w:p>
    <w:tbl>
      <w:tblPr>
        <w:tblStyle w:val="TableGrid"/>
        <w:tblW w:type="auto" w:w="0"/>
        <w:jc w:val="center"/>
        <w:tblLook w:firstColumn="1" w:firstRow="1" w:lastColumn="0" w:lastRow="0" w:noHBand="0" w:noVBand="1" w:val="04A0"/>
      </w:tblPr>
      <w:tblGrid>
        <w:gridCol w:w="4896"/>
        <w:gridCol w:w="4896"/>
      </w:tblGrid>
      <w:tr>
        <w:tc>
          <w:tcPr>
            <w:tcW w:type="dxa" w:w="1728"/>
            <w:shd w:fill="1F6B4F"/>
            <w:tcMar>
              <w:top w:w="120" w:type="dxa"/>
              <w:start w:w="120" w:type="dxa"/>
              <w:bottom w:w="120" w:type="dxa"/>
              <w:end w:w="120" w:type="dxa"/>
            </w:tcMar>
            <w:vAlign w:val="center"/>
          </w:tcPr>
          <w:p>
            <w:pPr>
              <w:jc w:val="center"/>
            </w:pPr>
            <w:r>
              <w:rPr>
                <w:rFonts w:ascii="Aptos" w:hAnsi="Aptos"/>
                <w:b/>
                <w:color w:val="FFFFFF"/>
                <w:sz w:val="19"/>
              </w:rPr>
              <w:t>Level</w:t>
            </w:r>
          </w:p>
        </w:tc>
        <w:tc>
          <w:tcPr>
            <w:tcW w:type="dxa" w:w="7343"/>
            <w:shd w:fill="1F6B4F"/>
            <w:tcMar>
              <w:top w:w="120" w:type="dxa"/>
              <w:start w:w="120" w:type="dxa"/>
              <w:bottom w:w="120" w:type="dxa"/>
              <w:end w:w="120" w:type="dxa"/>
            </w:tcMar>
            <w:vAlign w:val="center"/>
          </w:tcPr>
          <w:p>
            <w:pPr>
              <w:jc w:val="center"/>
            </w:pPr>
            <w:r>
              <w:rPr>
                <w:rFonts w:ascii="Aptos" w:hAnsi="Aptos"/>
                <w:b/>
                <w:color w:val="FFFFFF"/>
                <w:sz w:val="19"/>
              </w:rPr>
              <w:t>Illustrative Meaning</w:t>
            </w:r>
          </w:p>
        </w:tc>
      </w:tr>
      <w:tr>
        <w:tc>
          <w:tcPr>
            <w:tcW w:type="dxa" w:w="1728"/>
            <w:tcMar>
              <w:top w:w="110" w:type="dxa"/>
              <w:start w:w="120" w:type="dxa"/>
              <w:bottom w:w="110" w:type="dxa"/>
              <w:end w:w="120" w:type="dxa"/>
            </w:tcMar>
          </w:tcPr>
          <w:p>
            <w:pPr>
              <w:jc w:val="left"/>
            </w:pPr>
            <w:r>
              <w:rPr>
                <w:rFonts w:ascii="Aptos" w:hAnsi="Aptos"/>
                <w:sz w:val="19"/>
              </w:rPr>
              <w:t>Bronze</w:t>
            </w:r>
          </w:p>
        </w:tc>
        <w:tc>
          <w:tcPr>
            <w:tcW w:type="dxa" w:w="7343"/>
            <w:tcMar>
              <w:top w:w="110" w:type="dxa"/>
              <w:start w:w="120" w:type="dxa"/>
              <w:bottom w:w="110" w:type="dxa"/>
              <w:end w:w="120" w:type="dxa"/>
            </w:tcMar>
          </w:tcPr>
          <w:p>
            <w:pPr>
              <w:jc w:val="left"/>
            </w:pPr>
            <w:r>
              <w:rPr>
                <w:rFonts w:ascii="Aptos" w:hAnsi="Aptos"/>
                <w:sz w:val="19"/>
              </w:rPr>
              <w:t>Foundation standards adopted</w:t>
            </w:r>
          </w:p>
        </w:tc>
      </w:tr>
      <w:tr>
        <w:tc>
          <w:tcPr>
            <w:tcW w:type="dxa" w:w="1728"/>
            <w:tcMar>
              <w:top w:w="110" w:type="dxa"/>
              <w:start w:w="120" w:type="dxa"/>
              <w:bottom w:w="110" w:type="dxa"/>
              <w:end w:w="120" w:type="dxa"/>
            </w:tcMar>
            <w:shd w:fill="F4F7F5"/>
          </w:tcPr>
          <w:p>
            <w:pPr>
              <w:jc w:val="left"/>
            </w:pPr>
            <w:r>
              <w:rPr>
                <w:rFonts w:ascii="Aptos" w:hAnsi="Aptos"/>
                <w:sz w:val="19"/>
              </w:rPr>
              <w:t>Silver</w:t>
            </w:r>
          </w:p>
        </w:tc>
        <w:tc>
          <w:tcPr>
            <w:tcW w:type="dxa" w:w="7343"/>
            <w:tcMar>
              <w:top w:w="110" w:type="dxa"/>
              <w:start w:w="120" w:type="dxa"/>
              <w:bottom w:w="110" w:type="dxa"/>
              <w:end w:w="120" w:type="dxa"/>
            </w:tcMar>
            <w:shd w:fill="F4F7F5"/>
          </w:tcPr>
          <w:p>
            <w:pPr>
              <w:jc w:val="left"/>
            </w:pPr>
            <w:r>
              <w:rPr>
                <w:rFonts w:ascii="Aptos" w:hAnsi="Aptos"/>
                <w:sz w:val="19"/>
              </w:rPr>
              <w:t>Consistent operational compliance</w:t>
            </w:r>
          </w:p>
        </w:tc>
      </w:tr>
      <w:tr>
        <w:tc>
          <w:tcPr>
            <w:tcW w:type="dxa" w:w="1728"/>
            <w:tcMar>
              <w:top w:w="110" w:type="dxa"/>
              <w:start w:w="120" w:type="dxa"/>
              <w:bottom w:w="110" w:type="dxa"/>
              <w:end w:w="120" w:type="dxa"/>
            </w:tcMar>
          </w:tcPr>
          <w:p>
            <w:pPr>
              <w:jc w:val="left"/>
            </w:pPr>
            <w:r>
              <w:rPr>
                <w:rFonts w:ascii="Aptos" w:hAnsi="Aptos"/>
                <w:sz w:val="19"/>
              </w:rPr>
              <w:t>Gold</w:t>
            </w:r>
          </w:p>
        </w:tc>
        <w:tc>
          <w:tcPr>
            <w:tcW w:type="dxa" w:w="7343"/>
            <w:tcMar>
              <w:top w:w="110" w:type="dxa"/>
              <w:start w:w="120" w:type="dxa"/>
              <w:bottom w:w="110" w:type="dxa"/>
              <w:end w:w="120" w:type="dxa"/>
            </w:tcMar>
          </w:tcPr>
          <w:p>
            <w:pPr>
              <w:jc w:val="left"/>
            </w:pPr>
            <w:r>
              <w:rPr>
                <w:rFonts w:ascii="Aptos" w:hAnsi="Aptos"/>
                <w:sz w:val="19"/>
              </w:rPr>
              <w:t>Strong performance, training and governance</w:t>
            </w:r>
          </w:p>
        </w:tc>
      </w:tr>
      <w:tr>
        <w:tc>
          <w:tcPr>
            <w:tcW w:type="dxa" w:w="1728"/>
            <w:tcMar>
              <w:top w:w="110" w:type="dxa"/>
              <w:start w:w="120" w:type="dxa"/>
              <w:bottom w:w="110" w:type="dxa"/>
              <w:end w:w="120" w:type="dxa"/>
            </w:tcMar>
            <w:shd w:fill="F4F7F5"/>
          </w:tcPr>
          <w:p>
            <w:pPr>
              <w:jc w:val="left"/>
            </w:pPr>
            <w:r>
              <w:rPr>
                <w:rFonts w:ascii="Aptos" w:hAnsi="Aptos"/>
                <w:sz w:val="19"/>
              </w:rPr>
              <w:t>Platinum</w:t>
            </w:r>
          </w:p>
        </w:tc>
        <w:tc>
          <w:tcPr>
            <w:tcW w:type="dxa" w:w="7343"/>
            <w:tcMar>
              <w:top w:w="110" w:type="dxa"/>
              <w:start w:w="120" w:type="dxa"/>
              <w:bottom w:w="110" w:type="dxa"/>
              <w:end w:w="120" w:type="dxa"/>
            </w:tcMar>
            <w:shd w:fill="F4F7F5"/>
          </w:tcPr>
          <w:p>
            <w:pPr>
              <w:jc w:val="left"/>
            </w:pPr>
            <w:r>
              <w:rPr>
                <w:rFonts w:ascii="Aptos" w:hAnsi="Aptos"/>
                <w:sz w:val="19"/>
              </w:rPr>
              <w:t>Advanced integration and continuous improvement</w:t>
            </w:r>
          </w:p>
        </w:tc>
      </w:tr>
      <w:tr>
        <w:tc>
          <w:tcPr>
            <w:tcW w:type="dxa" w:w="1728"/>
            <w:tcMar>
              <w:top w:w="110" w:type="dxa"/>
              <w:start w:w="120" w:type="dxa"/>
              <w:bottom w:w="110" w:type="dxa"/>
              <w:end w:w="120" w:type="dxa"/>
            </w:tcMar>
          </w:tcPr>
          <w:p>
            <w:pPr>
              <w:jc w:val="left"/>
            </w:pPr>
            <w:r>
              <w:rPr>
                <w:rFonts w:ascii="Aptos" w:hAnsi="Aptos"/>
                <w:sz w:val="19"/>
              </w:rPr>
              <w:t>Diamond</w:t>
            </w:r>
          </w:p>
        </w:tc>
        <w:tc>
          <w:tcPr>
            <w:tcW w:type="dxa" w:w="7343"/>
            <w:tcMar>
              <w:top w:w="110" w:type="dxa"/>
              <w:start w:w="120" w:type="dxa"/>
              <w:bottom w:w="110" w:type="dxa"/>
              <w:end w:w="120" w:type="dxa"/>
            </w:tcMar>
          </w:tcPr>
          <w:p>
            <w:pPr>
              <w:jc w:val="left"/>
            </w:pPr>
            <w:r>
              <w:rPr>
                <w:rFonts w:ascii="Aptos" w:hAnsi="Aptos"/>
                <w:sz w:val="19"/>
              </w:rPr>
              <w:t>Exceptional enterprise performance and industry leadership</w:t>
            </w:r>
          </w:p>
        </w:tc>
      </w:tr>
    </w:tbl>
    <w:p>
      <w:pPr>
        <w:spacing w:after="40"/>
      </w:pPr>
    </w:p>
    <w:p>
      <w:pPr>
        <w:pStyle w:val="Heading1"/>
      </w:pPr>
      <w:r>
        <w:t>19. Operating Model</w:t>
      </w:r>
    </w:p>
    <w:tbl>
      <w:tblPr>
        <w:tblStyle w:val="TableGrid"/>
        <w:tblW w:type="auto" w:w="0"/>
        <w:jc w:val="center"/>
        <w:tblLook w:firstColumn="1" w:firstRow="1" w:lastColumn="0" w:lastRow="0" w:noHBand="0" w:noVBand="1" w:val="04A0"/>
      </w:tblPr>
      <w:tblGrid>
        <w:gridCol w:w="4896"/>
        <w:gridCol w:w="4896"/>
      </w:tblGrid>
      <w:tr>
        <w:tc>
          <w:tcPr>
            <w:tcW w:type="dxa" w:w="2015"/>
            <w:shd w:fill="1F6B4F"/>
            <w:tcMar>
              <w:top w:w="120" w:type="dxa"/>
              <w:start w:w="120" w:type="dxa"/>
              <w:bottom w:w="120" w:type="dxa"/>
              <w:end w:w="120" w:type="dxa"/>
            </w:tcMar>
            <w:vAlign w:val="center"/>
          </w:tcPr>
          <w:p>
            <w:pPr>
              <w:jc w:val="center"/>
            </w:pPr>
            <w:r>
              <w:rPr>
                <w:rFonts w:ascii="Aptos" w:hAnsi="Aptos"/>
                <w:b/>
                <w:color w:val="FFFFFF"/>
                <w:sz w:val="19"/>
              </w:rPr>
              <w:t>Division</w:t>
            </w:r>
          </w:p>
        </w:tc>
        <w:tc>
          <w:tcPr>
            <w:tcW w:type="dxa" w:w="7056"/>
            <w:shd w:fill="1F6B4F"/>
            <w:tcMar>
              <w:top w:w="120" w:type="dxa"/>
              <w:start w:w="120" w:type="dxa"/>
              <w:bottom w:w="120" w:type="dxa"/>
              <w:end w:w="120" w:type="dxa"/>
            </w:tcMar>
            <w:vAlign w:val="center"/>
          </w:tcPr>
          <w:p>
            <w:pPr>
              <w:jc w:val="center"/>
            </w:pPr>
            <w:r>
              <w:rPr>
                <w:rFonts w:ascii="Aptos" w:hAnsi="Aptos"/>
                <w:b/>
                <w:color w:val="FFFFFF"/>
                <w:sz w:val="19"/>
              </w:rPr>
              <w:t>Primary Mandate</w:t>
            </w:r>
          </w:p>
        </w:tc>
      </w:tr>
      <w:tr>
        <w:tc>
          <w:tcPr>
            <w:tcW w:type="dxa" w:w="2015"/>
            <w:tcMar>
              <w:top w:w="110" w:type="dxa"/>
              <w:start w:w="120" w:type="dxa"/>
              <w:bottom w:w="110" w:type="dxa"/>
              <w:end w:w="120" w:type="dxa"/>
            </w:tcMar>
          </w:tcPr>
          <w:p>
            <w:pPr>
              <w:jc w:val="left"/>
            </w:pPr>
            <w:r>
              <w:rPr>
                <w:rFonts w:ascii="Aptos" w:hAnsi="Aptos"/>
                <w:sz w:val="19"/>
              </w:rPr>
              <w:t>Product</w:t>
            </w:r>
          </w:p>
        </w:tc>
        <w:tc>
          <w:tcPr>
            <w:tcW w:type="dxa" w:w="7056"/>
            <w:tcMar>
              <w:top w:w="110" w:type="dxa"/>
              <w:start w:w="120" w:type="dxa"/>
              <w:bottom w:w="110" w:type="dxa"/>
              <w:end w:w="120" w:type="dxa"/>
            </w:tcMar>
          </w:tcPr>
          <w:p>
            <w:pPr>
              <w:jc w:val="left"/>
            </w:pPr>
            <w:r>
              <w:rPr>
                <w:rFonts w:ascii="Aptos" w:hAnsi="Aptos"/>
                <w:sz w:val="19"/>
              </w:rPr>
              <w:t>Experience, platform, operating products and release quality</w:t>
            </w:r>
          </w:p>
        </w:tc>
      </w:tr>
      <w:tr>
        <w:tc>
          <w:tcPr>
            <w:tcW w:type="dxa" w:w="2015"/>
            <w:tcMar>
              <w:top w:w="110" w:type="dxa"/>
              <w:start w:w="120" w:type="dxa"/>
              <w:bottom w:w="110" w:type="dxa"/>
              <w:end w:w="120" w:type="dxa"/>
            </w:tcMar>
            <w:shd w:fill="F4F7F5"/>
          </w:tcPr>
          <w:p>
            <w:pPr>
              <w:jc w:val="left"/>
            </w:pPr>
            <w:r>
              <w:rPr>
                <w:rFonts w:ascii="Aptos" w:hAnsi="Aptos"/>
                <w:sz w:val="19"/>
              </w:rPr>
              <w:t>Knowledge</w:t>
            </w:r>
          </w:p>
        </w:tc>
        <w:tc>
          <w:tcPr>
            <w:tcW w:type="dxa" w:w="7056"/>
            <w:tcMar>
              <w:top w:w="110" w:type="dxa"/>
              <w:start w:w="120" w:type="dxa"/>
              <w:bottom w:w="110" w:type="dxa"/>
              <w:end w:w="120" w:type="dxa"/>
            </w:tcMar>
            <w:shd w:fill="F4F7F5"/>
          </w:tcPr>
          <w:p>
            <w:pPr>
              <w:jc w:val="left"/>
            </w:pPr>
            <w:r>
              <w:rPr>
                <w:rFonts w:ascii="Aptos" w:hAnsi="Aptos"/>
                <w:sz w:val="19"/>
              </w:rPr>
              <w:t>Cocktails, recipes, documents, equipment, Academy content and editorial governance</w:t>
            </w:r>
          </w:p>
        </w:tc>
      </w:tr>
      <w:tr>
        <w:tc>
          <w:tcPr>
            <w:tcW w:type="dxa" w:w="2015"/>
            <w:tcMar>
              <w:top w:w="110" w:type="dxa"/>
              <w:start w:w="120" w:type="dxa"/>
              <w:bottom w:w="110" w:type="dxa"/>
              <w:end w:w="120" w:type="dxa"/>
            </w:tcMar>
          </w:tcPr>
          <w:p>
            <w:pPr>
              <w:jc w:val="left"/>
            </w:pPr>
            <w:r>
              <w:rPr>
                <w:rFonts w:ascii="Aptos" w:hAnsi="Aptos"/>
                <w:sz w:val="19"/>
              </w:rPr>
              <w:t>AI &amp; Intelligence</w:t>
            </w:r>
          </w:p>
        </w:tc>
        <w:tc>
          <w:tcPr>
            <w:tcW w:type="dxa" w:w="7056"/>
            <w:tcMar>
              <w:top w:w="110" w:type="dxa"/>
              <w:start w:w="120" w:type="dxa"/>
              <w:bottom w:w="110" w:type="dxa"/>
              <w:end w:w="120" w:type="dxa"/>
            </w:tcMar>
          </w:tcPr>
          <w:p>
            <w:pPr>
              <w:jc w:val="left"/>
            </w:pPr>
            <w:r>
              <w:rPr>
                <w:rFonts w:ascii="Aptos" w:hAnsi="Aptos"/>
                <w:sz w:val="19"/>
              </w:rPr>
              <w:t>Ask Paddy, search, graph, predictions, automation and responsible AI</w:t>
            </w:r>
          </w:p>
        </w:tc>
      </w:tr>
      <w:tr>
        <w:tc>
          <w:tcPr>
            <w:tcW w:type="dxa" w:w="2015"/>
            <w:tcMar>
              <w:top w:w="110" w:type="dxa"/>
              <w:start w:w="120" w:type="dxa"/>
              <w:bottom w:w="110" w:type="dxa"/>
              <w:end w:w="120" w:type="dxa"/>
            </w:tcMar>
            <w:shd w:fill="F4F7F5"/>
          </w:tcPr>
          <w:p>
            <w:pPr>
              <w:jc w:val="left"/>
            </w:pPr>
            <w:r>
              <w:rPr>
                <w:rFonts w:ascii="Aptos" w:hAnsi="Aptos"/>
                <w:sz w:val="19"/>
              </w:rPr>
              <w:t>Commercial</w:t>
            </w:r>
          </w:p>
        </w:tc>
        <w:tc>
          <w:tcPr>
            <w:tcW w:type="dxa" w:w="7056"/>
            <w:tcMar>
              <w:top w:w="110" w:type="dxa"/>
              <w:start w:w="120" w:type="dxa"/>
              <w:bottom w:w="110" w:type="dxa"/>
              <w:end w:w="120" w:type="dxa"/>
            </w:tcMar>
            <w:shd w:fill="F4F7F5"/>
          </w:tcPr>
          <w:p>
            <w:pPr>
              <w:jc w:val="left"/>
            </w:pPr>
            <w:r>
              <w:rPr>
                <w:rFonts w:ascii="Aptos" w:hAnsi="Aptos"/>
                <w:sz w:val="19"/>
              </w:rPr>
              <w:t>Sales, partnerships, marketplace, customer success, community and growth</w:t>
            </w:r>
          </w:p>
        </w:tc>
      </w:tr>
      <w:tr>
        <w:tc>
          <w:tcPr>
            <w:tcW w:type="dxa" w:w="2015"/>
            <w:tcMar>
              <w:top w:w="110" w:type="dxa"/>
              <w:start w:w="120" w:type="dxa"/>
              <w:bottom w:w="110" w:type="dxa"/>
              <w:end w:w="120" w:type="dxa"/>
            </w:tcMar>
          </w:tcPr>
          <w:p>
            <w:pPr>
              <w:jc w:val="left"/>
            </w:pPr>
            <w:r>
              <w:rPr>
                <w:rFonts w:ascii="Aptos" w:hAnsi="Aptos"/>
                <w:sz w:val="19"/>
              </w:rPr>
              <w:t>Trust &amp; Governance</w:t>
            </w:r>
          </w:p>
        </w:tc>
        <w:tc>
          <w:tcPr>
            <w:tcW w:type="dxa" w:w="7056"/>
            <w:tcMar>
              <w:top w:w="110" w:type="dxa"/>
              <w:start w:w="120" w:type="dxa"/>
              <w:bottom w:w="110" w:type="dxa"/>
              <w:end w:w="120" w:type="dxa"/>
            </w:tcMar>
          </w:tcPr>
          <w:p>
            <w:pPr>
              <w:jc w:val="left"/>
            </w:pPr>
            <w:r>
              <w:rPr>
                <w:rFonts w:ascii="Aptos" w:hAnsi="Aptos"/>
                <w:sz w:val="19"/>
              </w:rPr>
              <w:t>Security, privacy, compliance, audit, quality and risk</w:t>
            </w:r>
          </w:p>
        </w:tc>
      </w:tr>
    </w:tbl>
    <w:p>
      <w:pPr>
        <w:spacing w:after="40"/>
      </w:pPr>
    </w:p>
    <w:p>
      <w:pPr>
        <w:pStyle w:val="Heading1"/>
      </w:pPr>
      <w:r>
        <w:t>20. Project Zero Foundation Library</w:t>
      </w:r>
    </w:p>
    <w:tbl>
      <w:tblPr>
        <w:tblStyle w:val="TableGrid"/>
        <w:tblW w:type="auto" w:w="0"/>
        <w:jc w:val="center"/>
        <w:tblLook w:firstColumn="1" w:firstRow="1" w:lastColumn="0" w:lastRow="0" w:noHBand="0" w:noVBand="1" w:val="04A0"/>
      </w:tblPr>
      <w:tblGrid>
        <w:gridCol w:w="3264"/>
        <w:gridCol w:w="3264"/>
        <w:gridCol w:w="3264"/>
      </w:tblGrid>
      <w:tr>
        <w:tc>
          <w:tcPr>
            <w:tcW w:type="dxa" w:w="1944"/>
            <w:shd w:fill="1F6B4F"/>
            <w:tcMar>
              <w:top w:w="120" w:type="dxa"/>
              <w:start w:w="120" w:type="dxa"/>
              <w:bottom w:w="120" w:type="dxa"/>
              <w:end w:w="120" w:type="dxa"/>
            </w:tcMar>
            <w:vAlign w:val="center"/>
          </w:tcPr>
          <w:p>
            <w:pPr>
              <w:jc w:val="center"/>
            </w:pPr>
            <w:r>
              <w:rPr>
                <w:rFonts w:ascii="Aptos" w:hAnsi="Aptos"/>
                <w:b/>
                <w:color w:val="FFFFFF"/>
                <w:sz w:val="19"/>
              </w:rPr>
              <w:t>Document ID</w:t>
            </w:r>
          </w:p>
        </w:tc>
        <w:tc>
          <w:tcPr>
            <w:tcW w:type="dxa" w:w="3456"/>
            <w:shd w:fill="1F6B4F"/>
            <w:tcMar>
              <w:top w:w="120" w:type="dxa"/>
              <w:start w:w="120" w:type="dxa"/>
              <w:bottom w:w="120" w:type="dxa"/>
              <w:end w:w="120" w:type="dxa"/>
            </w:tcMar>
            <w:vAlign w:val="center"/>
          </w:tcPr>
          <w:p>
            <w:pPr>
              <w:jc w:val="center"/>
            </w:pPr>
            <w:r>
              <w:rPr>
                <w:rFonts w:ascii="Aptos" w:hAnsi="Aptos"/>
                <w:b/>
                <w:color w:val="FFFFFF"/>
                <w:sz w:val="19"/>
              </w:rPr>
              <w:t>Publication</w:t>
            </w:r>
          </w:p>
        </w:tc>
        <w:tc>
          <w:tcPr>
            <w:tcW w:type="dxa" w:w="3671"/>
            <w:shd w:fill="1F6B4F"/>
            <w:tcMar>
              <w:top w:w="120" w:type="dxa"/>
              <w:start w:w="120" w:type="dxa"/>
              <w:bottom w:w="120" w:type="dxa"/>
              <w:end w:w="120" w:type="dxa"/>
            </w:tcMar>
            <w:vAlign w:val="center"/>
          </w:tcPr>
          <w:p>
            <w:pPr>
              <w:jc w:val="center"/>
            </w:pPr>
            <w:r>
              <w:rPr>
                <w:rFonts w:ascii="Aptos" w:hAnsi="Aptos"/>
                <w:b/>
                <w:color w:val="FFFFFF"/>
                <w:sz w:val="19"/>
              </w:rPr>
              <w:t>Purpose</w:t>
            </w:r>
          </w:p>
        </w:tc>
      </w:tr>
      <w:tr>
        <w:tc>
          <w:tcPr>
            <w:tcW w:type="dxa" w:w="1944"/>
            <w:tcMar>
              <w:top w:w="110" w:type="dxa"/>
              <w:start w:w="120" w:type="dxa"/>
              <w:bottom w:w="110" w:type="dxa"/>
              <w:end w:w="120" w:type="dxa"/>
            </w:tcMar>
          </w:tcPr>
          <w:p>
            <w:pPr>
              <w:jc w:val="center"/>
            </w:pPr>
            <w:r>
              <w:rPr>
                <w:rFonts w:ascii="Aptos" w:hAnsi="Aptos"/>
                <w:sz w:val="19"/>
              </w:rPr>
              <w:t>IPW-000001</w:t>
            </w:r>
          </w:p>
        </w:tc>
        <w:tc>
          <w:tcPr>
            <w:tcW w:type="dxa" w:w="3456"/>
            <w:tcMar>
              <w:top w:w="110" w:type="dxa"/>
              <w:start w:w="120" w:type="dxa"/>
              <w:bottom w:w="110" w:type="dxa"/>
              <w:end w:w="120" w:type="dxa"/>
            </w:tcMar>
          </w:tcPr>
          <w:p>
            <w:pPr>
              <w:jc w:val="left"/>
            </w:pPr>
            <w:r>
              <w:rPr>
                <w:rFonts w:ascii="Aptos" w:hAnsi="Aptos"/>
                <w:sz w:val="19"/>
              </w:rPr>
              <w:t>Enterprise Constitution</w:t>
            </w:r>
          </w:p>
        </w:tc>
        <w:tc>
          <w:tcPr>
            <w:tcW w:type="dxa" w:w="3671"/>
            <w:tcMar>
              <w:top w:w="110" w:type="dxa"/>
              <w:start w:w="120" w:type="dxa"/>
              <w:bottom w:w="110" w:type="dxa"/>
              <w:end w:w="120" w:type="dxa"/>
            </w:tcMar>
          </w:tcPr>
          <w:p>
            <w:pPr>
              <w:jc w:val="left"/>
            </w:pPr>
            <w:r>
              <w:rPr>
                <w:rFonts w:ascii="Aptos" w:hAnsi="Aptos"/>
                <w:sz w:val="19"/>
              </w:rPr>
              <w:t>Enduring vision, principles and boundaries</w:t>
            </w:r>
          </w:p>
        </w:tc>
      </w:tr>
      <w:tr>
        <w:tc>
          <w:tcPr>
            <w:tcW w:type="dxa" w:w="1944"/>
            <w:tcMar>
              <w:top w:w="110" w:type="dxa"/>
              <w:start w:w="120" w:type="dxa"/>
              <w:bottom w:w="110" w:type="dxa"/>
              <w:end w:w="120" w:type="dxa"/>
            </w:tcMar>
            <w:shd w:fill="F4F7F5"/>
          </w:tcPr>
          <w:p>
            <w:pPr>
              <w:jc w:val="center"/>
            </w:pPr>
            <w:r>
              <w:rPr>
                <w:rFonts w:ascii="Aptos" w:hAnsi="Aptos"/>
                <w:sz w:val="19"/>
              </w:rPr>
              <w:t>IPW-ECS-001</w:t>
            </w:r>
          </w:p>
        </w:tc>
        <w:tc>
          <w:tcPr>
            <w:tcW w:type="dxa" w:w="3456"/>
            <w:tcMar>
              <w:top w:w="110" w:type="dxa"/>
              <w:start w:w="120" w:type="dxa"/>
              <w:bottom w:w="110" w:type="dxa"/>
              <w:end w:w="120" w:type="dxa"/>
            </w:tcMar>
            <w:shd w:fill="F4F7F5"/>
          </w:tcPr>
          <w:p>
            <w:pPr>
              <w:jc w:val="left"/>
            </w:pPr>
            <w:r>
              <w:rPr>
                <w:rFonts w:ascii="Aptos" w:hAnsi="Aptos"/>
                <w:sz w:val="19"/>
              </w:rPr>
              <w:t>Enterprise Content Standard</w:t>
            </w:r>
          </w:p>
        </w:tc>
        <w:tc>
          <w:tcPr>
            <w:tcW w:type="dxa" w:w="3671"/>
            <w:tcMar>
              <w:top w:w="110" w:type="dxa"/>
              <w:start w:w="120" w:type="dxa"/>
              <w:bottom w:w="110" w:type="dxa"/>
              <w:end w:w="120" w:type="dxa"/>
            </w:tcMar>
            <w:shd w:fill="F4F7F5"/>
          </w:tcPr>
          <w:p>
            <w:pPr>
              <w:jc w:val="left"/>
            </w:pPr>
            <w:r>
              <w:rPr>
                <w:rFonts w:ascii="Aptos" w:hAnsi="Aptos"/>
                <w:sz w:val="19"/>
              </w:rPr>
              <w:t>Structures and governance for every content type</w:t>
            </w:r>
          </w:p>
        </w:tc>
      </w:tr>
      <w:tr>
        <w:tc>
          <w:tcPr>
            <w:tcW w:type="dxa" w:w="1944"/>
            <w:tcMar>
              <w:top w:w="110" w:type="dxa"/>
              <w:start w:w="120" w:type="dxa"/>
              <w:bottom w:w="110" w:type="dxa"/>
              <w:end w:w="120" w:type="dxa"/>
            </w:tcMar>
          </w:tcPr>
          <w:p>
            <w:pPr>
              <w:jc w:val="center"/>
            </w:pPr>
            <w:r>
              <w:rPr>
                <w:rFonts w:ascii="Aptos" w:hAnsi="Aptos"/>
                <w:sz w:val="19"/>
              </w:rPr>
              <w:t>IPW-DS-001</w:t>
            </w:r>
          </w:p>
        </w:tc>
        <w:tc>
          <w:tcPr>
            <w:tcW w:type="dxa" w:w="3456"/>
            <w:tcMar>
              <w:top w:w="110" w:type="dxa"/>
              <w:start w:w="120" w:type="dxa"/>
              <w:bottom w:w="110" w:type="dxa"/>
              <w:end w:w="120" w:type="dxa"/>
            </w:tcMar>
          </w:tcPr>
          <w:p>
            <w:pPr>
              <w:jc w:val="left"/>
            </w:pPr>
            <w:r>
              <w:rPr>
                <w:rFonts w:ascii="Aptos" w:hAnsi="Aptos"/>
                <w:sz w:val="19"/>
              </w:rPr>
              <w:t>Enterprise Design System</w:t>
            </w:r>
          </w:p>
        </w:tc>
        <w:tc>
          <w:tcPr>
            <w:tcW w:type="dxa" w:w="3671"/>
            <w:tcMar>
              <w:top w:w="110" w:type="dxa"/>
              <w:start w:w="120" w:type="dxa"/>
              <w:bottom w:w="110" w:type="dxa"/>
              <w:end w:w="120" w:type="dxa"/>
            </w:tcMar>
          </w:tcPr>
          <w:p>
            <w:pPr>
              <w:jc w:val="left"/>
            </w:pPr>
            <w:r>
              <w:rPr>
                <w:rFonts w:ascii="Aptos" w:hAnsi="Aptos"/>
                <w:sz w:val="19"/>
              </w:rPr>
              <w:t>Visual language, components and interaction standards</w:t>
            </w:r>
          </w:p>
        </w:tc>
      </w:tr>
      <w:tr>
        <w:tc>
          <w:tcPr>
            <w:tcW w:type="dxa" w:w="1944"/>
            <w:tcMar>
              <w:top w:w="110" w:type="dxa"/>
              <w:start w:w="120" w:type="dxa"/>
              <w:bottom w:w="110" w:type="dxa"/>
              <w:end w:w="120" w:type="dxa"/>
            </w:tcMar>
            <w:shd w:fill="F4F7F5"/>
          </w:tcPr>
          <w:p>
            <w:pPr>
              <w:jc w:val="center"/>
            </w:pPr>
            <w:r>
              <w:rPr>
                <w:rFonts w:ascii="Aptos" w:hAnsi="Aptos"/>
                <w:sz w:val="19"/>
              </w:rPr>
              <w:t>IPW-DM-001</w:t>
            </w:r>
          </w:p>
        </w:tc>
        <w:tc>
          <w:tcPr>
            <w:tcW w:type="dxa" w:w="3456"/>
            <w:tcMar>
              <w:top w:w="110" w:type="dxa"/>
              <w:start w:w="120" w:type="dxa"/>
              <w:bottom w:w="110" w:type="dxa"/>
              <w:end w:w="120" w:type="dxa"/>
            </w:tcMar>
            <w:shd w:fill="F4F7F5"/>
          </w:tcPr>
          <w:p>
            <w:pPr>
              <w:jc w:val="left"/>
            </w:pPr>
            <w:r>
              <w:rPr>
                <w:rFonts w:ascii="Aptos" w:hAnsi="Aptos"/>
                <w:sz w:val="19"/>
              </w:rPr>
              <w:t>Enterprise Data Model</w:t>
            </w:r>
          </w:p>
        </w:tc>
        <w:tc>
          <w:tcPr>
            <w:tcW w:type="dxa" w:w="3671"/>
            <w:tcMar>
              <w:top w:w="110" w:type="dxa"/>
              <w:start w:w="120" w:type="dxa"/>
              <w:bottom w:w="110" w:type="dxa"/>
              <w:end w:w="120" w:type="dxa"/>
            </w:tcMar>
            <w:shd w:fill="F4F7F5"/>
          </w:tcPr>
          <w:p>
            <w:pPr>
              <w:jc w:val="left"/>
            </w:pPr>
            <w:r>
              <w:rPr>
                <w:rFonts w:ascii="Aptos" w:hAnsi="Aptos"/>
                <w:sz w:val="19"/>
              </w:rPr>
              <w:t>Canonical objects, fields, relationships and ownership</w:t>
            </w:r>
          </w:p>
        </w:tc>
      </w:tr>
      <w:tr>
        <w:tc>
          <w:tcPr>
            <w:tcW w:type="dxa" w:w="1944"/>
            <w:tcMar>
              <w:top w:w="110" w:type="dxa"/>
              <w:start w:w="120" w:type="dxa"/>
              <w:bottom w:w="110" w:type="dxa"/>
              <w:end w:w="120" w:type="dxa"/>
            </w:tcMar>
          </w:tcPr>
          <w:p>
            <w:pPr>
              <w:jc w:val="center"/>
            </w:pPr>
            <w:r>
              <w:rPr>
                <w:rFonts w:ascii="Aptos" w:hAnsi="Aptos"/>
                <w:sz w:val="19"/>
              </w:rPr>
              <w:t>IPW-KG-001</w:t>
            </w:r>
          </w:p>
        </w:tc>
        <w:tc>
          <w:tcPr>
            <w:tcW w:type="dxa" w:w="3456"/>
            <w:tcMar>
              <w:top w:w="110" w:type="dxa"/>
              <w:start w:w="120" w:type="dxa"/>
              <w:bottom w:w="110" w:type="dxa"/>
              <w:end w:w="120" w:type="dxa"/>
            </w:tcMar>
          </w:tcPr>
          <w:p>
            <w:pPr>
              <w:jc w:val="left"/>
            </w:pPr>
            <w:r>
              <w:rPr>
                <w:rFonts w:ascii="Aptos" w:hAnsi="Aptos"/>
                <w:sz w:val="19"/>
              </w:rPr>
              <w:t>Knowledge Graph Specification</w:t>
            </w:r>
          </w:p>
        </w:tc>
        <w:tc>
          <w:tcPr>
            <w:tcW w:type="dxa" w:w="3671"/>
            <w:tcMar>
              <w:top w:w="110" w:type="dxa"/>
              <w:start w:w="120" w:type="dxa"/>
              <w:bottom w:w="110" w:type="dxa"/>
              <w:end w:w="120" w:type="dxa"/>
            </w:tcMar>
          </w:tcPr>
          <w:p>
            <w:pPr>
              <w:jc w:val="left"/>
            </w:pPr>
            <w:r>
              <w:rPr>
                <w:rFonts w:ascii="Aptos" w:hAnsi="Aptos"/>
                <w:sz w:val="19"/>
              </w:rPr>
              <w:t>Relationship taxonomy, semantics and graph behavior</w:t>
            </w:r>
          </w:p>
        </w:tc>
      </w:tr>
      <w:tr>
        <w:tc>
          <w:tcPr>
            <w:tcW w:type="dxa" w:w="1944"/>
            <w:tcMar>
              <w:top w:w="110" w:type="dxa"/>
              <w:start w:w="120" w:type="dxa"/>
              <w:bottom w:w="110" w:type="dxa"/>
              <w:end w:w="120" w:type="dxa"/>
            </w:tcMar>
            <w:shd w:fill="F4F7F5"/>
          </w:tcPr>
          <w:p>
            <w:pPr>
              <w:jc w:val="center"/>
            </w:pPr>
            <w:r>
              <w:rPr>
                <w:rFonts w:ascii="Aptos" w:hAnsi="Aptos"/>
                <w:sz w:val="19"/>
              </w:rPr>
              <w:t>IPW-AI-001</w:t>
            </w:r>
          </w:p>
        </w:tc>
        <w:tc>
          <w:tcPr>
            <w:tcW w:type="dxa" w:w="3456"/>
            <w:tcMar>
              <w:top w:w="110" w:type="dxa"/>
              <w:start w:w="120" w:type="dxa"/>
              <w:bottom w:w="110" w:type="dxa"/>
              <w:end w:w="120" w:type="dxa"/>
            </w:tcMar>
            <w:shd w:fill="F4F7F5"/>
          </w:tcPr>
          <w:p>
            <w:pPr>
              <w:jc w:val="left"/>
            </w:pPr>
            <w:r>
              <w:rPr>
                <w:rFonts w:ascii="Aptos" w:hAnsi="Aptos"/>
                <w:sz w:val="19"/>
              </w:rPr>
              <w:t>Ask Paddy Intelligence Framework</w:t>
            </w:r>
          </w:p>
        </w:tc>
        <w:tc>
          <w:tcPr>
            <w:tcW w:type="dxa" w:w="3671"/>
            <w:tcMar>
              <w:top w:w="110" w:type="dxa"/>
              <w:start w:w="120" w:type="dxa"/>
              <w:bottom w:w="110" w:type="dxa"/>
              <w:end w:w="120" w:type="dxa"/>
            </w:tcMar>
            <w:shd w:fill="F4F7F5"/>
          </w:tcPr>
          <w:p>
            <w:pPr>
              <w:jc w:val="left"/>
            </w:pPr>
            <w:r>
              <w:rPr>
                <w:rFonts w:ascii="Aptos" w:hAnsi="Aptos"/>
                <w:sz w:val="19"/>
              </w:rPr>
              <w:t>AI architecture, grounding, safety and evaluation</w:t>
            </w:r>
          </w:p>
        </w:tc>
      </w:tr>
      <w:tr>
        <w:tc>
          <w:tcPr>
            <w:tcW w:type="dxa" w:w="1944"/>
            <w:tcMar>
              <w:top w:w="110" w:type="dxa"/>
              <w:start w:w="120" w:type="dxa"/>
              <w:bottom w:w="110" w:type="dxa"/>
              <w:end w:w="120" w:type="dxa"/>
            </w:tcMar>
          </w:tcPr>
          <w:p>
            <w:pPr>
              <w:jc w:val="center"/>
            </w:pPr>
            <w:r>
              <w:rPr>
                <w:rFonts w:ascii="Aptos" w:hAnsi="Aptos"/>
                <w:sz w:val="19"/>
              </w:rPr>
              <w:t>IPW-DEV-001</w:t>
            </w:r>
          </w:p>
        </w:tc>
        <w:tc>
          <w:tcPr>
            <w:tcW w:type="dxa" w:w="3456"/>
            <w:tcMar>
              <w:top w:w="110" w:type="dxa"/>
              <w:start w:w="120" w:type="dxa"/>
              <w:bottom w:w="110" w:type="dxa"/>
              <w:end w:w="120" w:type="dxa"/>
            </w:tcMar>
          </w:tcPr>
          <w:p>
            <w:pPr>
              <w:jc w:val="left"/>
            </w:pPr>
            <w:r>
              <w:rPr>
                <w:rFonts w:ascii="Aptos" w:hAnsi="Aptos"/>
                <w:sz w:val="19"/>
              </w:rPr>
              <w:t>Development Standards</w:t>
            </w:r>
          </w:p>
        </w:tc>
        <w:tc>
          <w:tcPr>
            <w:tcW w:type="dxa" w:w="3671"/>
            <w:tcMar>
              <w:top w:w="110" w:type="dxa"/>
              <w:start w:w="120" w:type="dxa"/>
              <w:bottom w:w="110" w:type="dxa"/>
              <w:end w:w="120" w:type="dxa"/>
            </w:tcMar>
          </w:tcPr>
          <w:p>
            <w:pPr>
              <w:jc w:val="left"/>
            </w:pPr>
            <w:r>
              <w:rPr>
                <w:rFonts w:ascii="Aptos" w:hAnsi="Aptos"/>
                <w:sz w:val="19"/>
              </w:rPr>
              <w:t>Engineering, API, testing, release and documentation rules</w:t>
            </w:r>
          </w:p>
        </w:tc>
      </w:tr>
      <w:tr>
        <w:tc>
          <w:tcPr>
            <w:tcW w:type="dxa" w:w="1944"/>
            <w:tcMar>
              <w:top w:w="110" w:type="dxa"/>
              <w:start w:w="120" w:type="dxa"/>
              <w:bottom w:w="110" w:type="dxa"/>
              <w:end w:w="120" w:type="dxa"/>
            </w:tcMar>
            <w:shd w:fill="F4F7F5"/>
          </w:tcPr>
          <w:p>
            <w:pPr>
              <w:jc w:val="center"/>
            </w:pPr>
            <w:r>
              <w:rPr>
                <w:rFonts w:ascii="Aptos" w:hAnsi="Aptos"/>
                <w:sz w:val="19"/>
              </w:rPr>
              <w:t>IPW-SEC-001</w:t>
            </w:r>
          </w:p>
        </w:tc>
        <w:tc>
          <w:tcPr>
            <w:tcW w:type="dxa" w:w="3456"/>
            <w:tcMar>
              <w:top w:w="110" w:type="dxa"/>
              <w:start w:w="120" w:type="dxa"/>
              <w:bottom w:w="110" w:type="dxa"/>
              <w:end w:w="120" w:type="dxa"/>
            </w:tcMar>
            <w:shd w:fill="F4F7F5"/>
          </w:tcPr>
          <w:p>
            <w:pPr>
              <w:jc w:val="left"/>
            </w:pPr>
            <w:r>
              <w:rPr>
                <w:rFonts w:ascii="Aptos" w:hAnsi="Aptos"/>
                <w:sz w:val="19"/>
              </w:rPr>
              <w:t>Enterprise Security Framework</w:t>
            </w:r>
          </w:p>
        </w:tc>
        <w:tc>
          <w:tcPr>
            <w:tcW w:type="dxa" w:w="3671"/>
            <w:tcMar>
              <w:top w:w="110" w:type="dxa"/>
              <w:start w:w="120" w:type="dxa"/>
              <w:bottom w:w="110" w:type="dxa"/>
              <w:end w:w="120" w:type="dxa"/>
            </w:tcMar>
            <w:shd w:fill="F4F7F5"/>
          </w:tcPr>
          <w:p>
            <w:pPr>
              <w:jc w:val="left"/>
            </w:pPr>
            <w:r>
              <w:rPr>
                <w:rFonts w:ascii="Aptos" w:hAnsi="Aptos"/>
                <w:sz w:val="19"/>
              </w:rPr>
              <w:t>Identity, permissions, privacy, resilience and incident response</w:t>
            </w:r>
          </w:p>
        </w:tc>
      </w:tr>
      <w:tr>
        <w:tc>
          <w:tcPr>
            <w:tcW w:type="dxa" w:w="1944"/>
            <w:tcMar>
              <w:top w:w="110" w:type="dxa"/>
              <w:start w:w="120" w:type="dxa"/>
              <w:bottom w:w="110" w:type="dxa"/>
              <w:end w:w="120" w:type="dxa"/>
            </w:tcMar>
          </w:tcPr>
          <w:p>
            <w:pPr>
              <w:jc w:val="center"/>
            </w:pPr>
            <w:r>
              <w:rPr>
                <w:rFonts w:ascii="Aptos" w:hAnsi="Aptos"/>
                <w:sz w:val="19"/>
              </w:rPr>
              <w:t>IPW-OPS-001</w:t>
            </w:r>
          </w:p>
        </w:tc>
        <w:tc>
          <w:tcPr>
            <w:tcW w:type="dxa" w:w="3456"/>
            <w:tcMar>
              <w:top w:w="110" w:type="dxa"/>
              <w:start w:w="120" w:type="dxa"/>
              <w:bottom w:w="110" w:type="dxa"/>
              <w:end w:w="120" w:type="dxa"/>
            </w:tcMar>
          </w:tcPr>
          <w:p>
            <w:pPr>
              <w:jc w:val="left"/>
            </w:pPr>
            <w:r>
              <w:rPr>
                <w:rFonts w:ascii="Aptos" w:hAnsi="Aptos"/>
                <w:sz w:val="19"/>
              </w:rPr>
              <w:t>Platform Operating Standards</w:t>
            </w:r>
          </w:p>
        </w:tc>
        <w:tc>
          <w:tcPr>
            <w:tcW w:type="dxa" w:w="3671"/>
            <w:tcMar>
              <w:top w:w="110" w:type="dxa"/>
              <w:start w:w="120" w:type="dxa"/>
              <w:bottom w:w="110" w:type="dxa"/>
              <w:end w:w="120" w:type="dxa"/>
            </w:tcMar>
          </w:tcPr>
          <w:p>
            <w:pPr>
              <w:jc w:val="left"/>
            </w:pPr>
            <w:r>
              <w:rPr>
                <w:rFonts w:ascii="Aptos" w:hAnsi="Aptos"/>
                <w:sz w:val="19"/>
              </w:rPr>
              <w:t>Support, release, incident, content and service management</w:t>
            </w:r>
          </w:p>
        </w:tc>
      </w:tr>
      <w:tr>
        <w:tc>
          <w:tcPr>
            <w:tcW w:type="dxa" w:w="1944"/>
            <w:tcMar>
              <w:top w:w="110" w:type="dxa"/>
              <w:start w:w="120" w:type="dxa"/>
              <w:bottom w:w="110" w:type="dxa"/>
              <w:end w:w="120" w:type="dxa"/>
            </w:tcMar>
            <w:shd w:fill="F4F7F5"/>
          </w:tcPr>
          <w:p>
            <w:pPr>
              <w:jc w:val="center"/>
            </w:pPr>
            <w:r>
              <w:rPr>
                <w:rFonts w:ascii="Aptos" w:hAnsi="Aptos"/>
                <w:sz w:val="19"/>
              </w:rPr>
              <w:t>IPW-BUS-001</w:t>
            </w:r>
          </w:p>
        </w:tc>
        <w:tc>
          <w:tcPr>
            <w:tcW w:type="dxa" w:w="3456"/>
            <w:tcMar>
              <w:top w:w="110" w:type="dxa"/>
              <w:start w:w="120" w:type="dxa"/>
              <w:bottom w:w="110" w:type="dxa"/>
              <w:end w:w="120" w:type="dxa"/>
            </w:tcMar>
            <w:shd w:fill="F4F7F5"/>
          </w:tcPr>
          <w:p>
            <w:pPr>
              <w:jc w:val="left"/>
            </w:pPr>
            <w:r>
              <w:rPr>
                <w:rFonts w:ascii="Aptos" w:hAnsi="Aptos"/>
                <w:sz w:val="19"/>
              </w:rPr>
              <w:t>Commercial Strategy</w:t>
            </w:r>
          </w:p>
        </w:tc>
        <w:tc>
          <w:tcPr>
            <w:tcW w:type="dxa" w:w="3671"/>
            <w:tcMar>
              <w:top w:w="110" w:type="dxa"/>
              <w:start w:w="120" w:type="dxa"/>
              <w:bottom w:w="110" w:type="dxa"/>
              <w:end w:w="120" w:type="dxa"/>
            </w:tcMar>
            <w:shd w:fill="F4F7F5"/>
          </w:tcPr>
          <w:p>
            <w:pPr>
              <w:jc w:val="left"/>
            </w:pPr>
            <w:r>
              <w:rPr>
                <w:rFonts w:ascii="Aptos" w:hAnsi="Aptos"/>
                <w:sz w:val="19"/>
              </w:rPr>
              <w:t>Packaging, marketplace, growth and partnership principles</w:t>
            </w:r>
          </w:p>
        </w:tc>
      </w:tr>
    </w:tbl>
    <w:p>
      <w:pPr>
        <w:spacing w:after="40"/>
      </w:pPr>
    </w:p>
    <w:p>
      <w:pPr>
        <w:pStyle w:val="Heading1"/>
      </w:pPr>
      <w:r>
        <w:t>21. Strategic Roadmap</w:t>
      </w:r>
    </w:p>
    <w:tbl>
      <w:tblPr>
        <w:tblStyle w:val="TableGrid"/>
        <w:tblW w:type="auto" w:w="0"/>
        <w:jc w:val="center"/>
        <w:tblLook w:firstColumn="1" w:firstRow="1" w:lastColumn="0" w:lastRow="0" w:noHBand="0" w:noVBand="1" w:val="04A0"/>
      </w:tblPr>
      <w:tblGrid>
        <w:gridCol w:w="3264"/>
        <w:gridCol w:w="3264"/>
        <w:gridCol w:w="3264"/>
      </w:tblGrid>
      <w:tr>
        <w:tc>
          <w:tcPr>
            <w:tcW w:type="dxa" w:w="1800"/>
            <w:shd w:fill="1F6B4F"/>
            <w:tcMar>
              <w:top w:w="120" w:type="dxa"/>
              <w:start w:w="120" w:type="dxa"/>
              <w:bottom w:w="120" w:type="dxa"/>
              <w:end w:w="120" w:type="dxa"/>
            </w:tcMar>
            <w:vAlign w:val="center"/>
          </w:tcPr>
          <w:p>
            <w:pPr>
              <w:jc w:val="center"/>
            </w:pPr>
            <w:r>
              <w:rPr>
                <w:rFonts w:ascii="Aptos" w:hAnsi="Aptos"/>
                <w:b/>
                <w:color w:val="FFFFFF"/>
                <w:sz w:val="19"/>
              </w:rPr>
              <w:t>Horizon</w:t>
            </w:r>
          </w:p>
        </w:tc>
        <w:tc>
          <w:tcPr>
            <w:tcW w:type="dxa" w:w="3384"/>
            <w:shd w:fill="1F6B4F"/>
            <w:tcMar>
              <w:top w:w="120" w:type="dxa"/>
              <w:start w:w="120" w:type="dxa"/>
              <w:bottom w:w="120" w:type="dxa"/>
              <w:end w:w="120" w:type="dxa"/>
            </w:tcMar>
            <w:vAlign w:val="center"/>
          </w:tcPr>
          <w:p>
            <w:pPr>
              <w:jc w:val="center"/>
            </w:pPr>
            <w:r>
              <w:rPr>
                <w:rFonts w:ascii="Aptos" w:hAnsi="Aptos"/>
                <w:b/>
                <w:color w:val="FFFFFF"/>
                <w:sz w:val="19"/>
              </w:rPr>
              <w:t>Primary Focus</w:t>
            </w:r>
          </w:p>
        </w:tc>
        <w:tc>
          <w:tcPr>
            <w:tcW w:type="dxa" w:w="3888"/>
            <w:shd w:fill="1F6B4F"/>
            <w:tcMar>
              <w:top w:w="120" w:type="dxa"/>
              <w:start w:w="120" w:type="dxa"/>
              <w:bottom w:w="120" w:type="dxa"/>
              <w:end w:w="120" w:type="dxa"/>
            </w:tcMar>
            <w:vAlign w:val="center"/>
          </w:tcPr>
          <w:p>
            <w:pPr>
              <w:jc w:val="center"/>
            </w:pPr>
            <w:r>
              <w:rPr>
                <w:rFonts w:ascii="Aptos" w:hAnsi="Aptos"/>
                <w:b/>
                <w:color w:val="FFFFFF"/>
                <w:sz w:val="19"/>
              </w:rPr>
              <w:t>Success Signal</w:t>
            </w:r>
          </w:p>
        </w:tc>
      </w:tr>
      <w:tr>
        <w:tc>
          <w:tcPr>
            <w:tcW w:type="dxa" w:w="1800"/>
            <w:tcMar>
              <w:top w:w="110" w:type="dxa"/>
              <w:start w:w="120" w:type="dxa"/>
              <w:bottom w:w="110" w:type="dxa"/>
              <w:end w:w="120" w:type="dxa"/>
            </w:tcMar>
          </w:tcPr>
          <w:p>
            <w:pPr>
              <w:jc w:val="center"/>
            </w:pPr>
            <w:r>
              <w:rPr>
                <w:rFonts w:ascii="Aptos" w:hAnsi="Aptos"/>
                <w:sz w:val="19"/>
              </w:rPr>
              <w:t>Foundation</w:t>
            </w:r>
          </w:p>
        </w:tc>
        <w:tc>
          <w:tcPr>
            <w:tcW w:type="dxa" w:w="3384"/>
            <w:tcMar>
              <w:top w:w="110" w:type="dxa"/>
              <w:start w:w="120" w:type="dxa"/>
              <w:bottom w:w="110" w:type="dxa"/>
              <w:end w:w="120" w:type="dxa"/>
            </w:tcMar>
          </w:tcPr>
          <w:p>
            <w:pPr>
              <w:jc w:val="left"/>
            </w:pPr>
            <w:r>
              <w:rPr>
                <w:rFonts w:ascii="Aptos" w:hAnsi="Aptos"/>
                <w:sz w:val="19"/>
              </w:rPr>
              <w:t>Standards, architecture, design system and object model</w:t>
            </w:r>
          </w:p>
        </w:tc>
        <w:tc>
          <w:tcPr>
            <w:tcW w:type="dxa" w:w="3888"/>
            <w:tcMar>
              <w:top w:w="110" w:type="dxa"/>
              <w:start w:w="120" w:type="dxa"/>
              <w:bottom w:w="110" w:type="dxa"/>
              <w:end w:w="120" w:type="dxa"/>
            </w:tcMar>
          </w:tcPr>
          <w:p>
            <w:pPr>
              <w:jc w:val="left"/>
            </w:pPr>
            <w:r>
              <w:rPr>
                <w:rFonts w:ascii="Aptos" w:hAnsi="Aptos"/>
                <w:sz w:val="19"/>
              </w:rPr>
              <w:t>Teams build consistently from one blueprint</w:t>
            </w:r>
          </w:p>
        </w:tc>
      </w:tr>
      <w:tr>
        <w:tc>
          <w:tcPr>
            <w:tcW w:type="dxa" w:w="1800"/>
            <w:tcMar>
              <w:top w:w="110" w:type="dxa"/>
              <w:start w:w="120" w:type="dxa"/>
              <w:bottom w:w="110" w:type="dxa"/>
              <w:end w:w="120" w:type="dxa"/>
            </w:tcMar>
            <w:shd w:fill="F4F7F5"/>
          </w:tcPr>
          <w:p>
            <w:pPr>
              <w:jc w:val="center"/>
            </w:pPr>
            <w:r>
              <w:rPr>
                <w:rFonts w:ascii="Aptos" w:hAnsi="Aptos"/>
                <w:sz w:val="19"/>
              </w:rPr>
              <w:t>Content Scale</w:t>
            </w:r>
          </w:p>
        </w:tc>
        <w:tc>
          <w:tcPr>
            <w:tcW w:type="dxa" w:w="3384"/>
            <w:tcMar>
              <w:top w:w="110" w:type="dxa"/>
              <w:start w:w="120" w:type="dxa"/>
              <w:bottom w:w="110" w:type="dxa"/>
              <w:end w:w="120" w:type="dxa"/>
            </w:tcMar>
            <w:shd w:fill="F4F7F5"/>
          </w:tcPr>
          <w:p>
            <w:pPr>
              <w:jc w:val="left"/>
            </w:pPr>
            <w:r>
              <w:rPr>
                <w:rFonts w:ascii="Aptos" w:hAnsi="Aptos"/>
                <w:sz w:val="19"/>
              </w:rPr>
              <w:t>Cocktails, recipes, SOPs, equipment and Academy</w:t>
            </w:r>
          </w:p>
        </w:tc>
        <w:tc>
          <w:tcPr>
            <w:tcW w:type="dxa" w:w="3888"/>
            <w:tcMar>
              <w:top w:w="110" w:type="dxa"/>
              <w:start w:w="120" w:type="dxa"/>
              <w:bottom w:w="110" w:type="dxa"/>
              <w:end w:w="120" w:type="dxa"/>
            </w:tcMar>
            <w:shd w:fill="F4F7F5"/>
          </w:tcPr>
          <w:p>
            <w:pPr>
              <w:jc w:val="left"/>
            </w:pPr>
            <w:r>
              <w:rPr>
                <w:rFonts w:ascii="Aptos" w:hAnsi="Aptos"/>
                <w:sz w:val="19"/>
              </w:rPr>
              <w:t>Knowledge becomes a measurable proprietary asset</w:t>
            </w:r>
          </w:p>
        </w:tc>
      </w:tr>
      <w:tr>
        <w:tc>
          <w:tcPr>
            <w:tcW w:type="dxa" w:w="1800"/>
            <w:tcMar>
              <w:top w:w="110" w:type="dxa"/>
              <w:start w:w="120" w:type="dxa"/>
              <w:bottom w:w="110" w:type="dxa"/>
              <w:end w:w="120" w:type="dxa"/>
            </w:tcMar>
          </w:tcPr>
          <w:p>
            <w:pPr>
              <w:jc w:val="center"/>
            </w:pPr>
            <w:r>
              <w:rPr>
                <w:rFonts w:ascii="Aptos" w:hAnsi="Aptos"/>
                <w:sz w:val="19"/>
              </w:rPr>
              <w:t>Production Platform</w:t>
            </w:r>
          </w:p>
        </w:tc>
        <w:tc>
          <w:tcPr>
            <w:tcW w:type="dxa" w:w="3384"/>
            <w:tcMar>
              <w:top w:w="110" w:type="dxa"/>
              <w:start w:w="120" w:type="dxa"/>
              <w:bottom w:w="110" w:type="dxa"/>
              <w:end w:w="120" w:type="dxa"/>
            </w:tcMar>
          </w:tcPr>
          <w:p>
            <w:pPr>
              <w:jc w:val="left"/>
            </w:pPr>
            <w:r>
              <w:rPr>
                <w:rFonts w:ascii="Aptos" w:hAnsi="Aptos"/>
                <w:sz w:val="19"/>
              </w:rPr>
              <w:t>Secure SaaS, mobile, APIs, permissions and integrations</w:t>
            </w:r>
          </w:p>
        </w:tc>
        <w:tc>
          <w:tcPr>
            <w:tcW w:type="dxa" w:w="3888"/>
            <w:tcMar>
              <w:top w:w="110" w:type="dxa"/>
              <w:start w:w="120" w:type="dxa"/>
              <w:bottom w:w="110" w:type="dxa"/>
              <w:end w:w="120" w:type="dxa"/>
            </w:tcMar>
          </w:tcPr>
          <w:p>
            <w:pPr>
              <w:jc w:val="left"/>
            </w:pPr>
            <w:r>
              <w:rPr>
                <w:rFonts w:ascii="Aptos" w:hAnsi="Aptos"/>
                <w:sz w:val="19"/>
              </w:rPr>
              <w:t>Real pubs operate on the platform daily</w:t>
            </w:r>
          </w:p>
        </w:tc>
      </w:tr>
      <w:tr>
        <w:tc>
          <w:tcPr>
            <w:tcW w:type="dxa" w:w="1800"/>
            <w:tcMar>
              <w:top w:w="110" w:type="dxa"/>
              <w:start w:w="120" w:type="dxa"/>
              <w:bottom w:w="110" w:type="dxa"/>
              <w:end w:w="120" w:type="dxa"/>
            </w:tcMar>
            <w:shd w:fill="F4F7F5"/>
          </w:tcPr>
          <w:p>
            <w:pPr>
              <w:jc w:val="center"/>
            </w:pPr>
            <w:r>
              <w:rPr>
                <w:rFonts w:ascii="Aptos" w:hAnsi="Aptos"/>
                <w:sz w:val="19"/>
              </w:rPr>
              <w:t>Intelligence</w:t>
            </w:r>
          </w:p>
        </w:tc>
        <w:tc>
          <w:tcPr>
            <w:tcW w:type="dxa" w:w="3384"/>
            <w:tcMar>
              <w:top w:w="110" w:type="dxa"/>
              <w:start w:w="120" w:type="dxa"/>
              <w:bottom w:w="110" w:type="dxa"/>
              <w:end w:w="120" w:type="dxa"/>
            </w:tcMar>
            <w:shd w:fill="F4F7F5"/>
          </w:tcPr>
          <w:p>
            <w:pPr>
              <w:jc w:val="left"/>
            </w:pPr>
            <w:r>
              <w:rPr>
                <w:rFonts w:ascii="Aptos" w:hAnsi="Aptos"/>
                <w:sz w:val="19"/>
              </w:rPr>
              <w:t>Ask Paddy, graph, predictions and automation</w:t>
            </w:r>
          </w:p>
        </w:tc>
        <w:tc>
          <w:tcPr>
            <w:tcW w:type="dxa" w:w="3888"/>
            <w:tcMar>
              <w:top w:w="110" w:type="dxa"/>
              <w:start w:w="120" w:type="dxa"/>
              <w:bottom w:w="110" w:type="dxa"/>
              <w:end w:w="120" w:type="dxa"/>
            </w:tcMar>
            <w:shd w:fill="F4F7F5"/>
          </w:tcPr>
          <w:p>
            <w:pPr>
              <w:jc w:val="left"/>
            </w:pPr>
            <w:r>
              <w:rPr>
                <w:rFonts w:ascii="Aptos" w:hAnsi="Aptos"/>
                <w:sz w:val="19"/>
              </w:rPr>
              <w:t>Users make faster evidence-based decisions</w:t>
            </w:r>
          </w:p>
        </w:tc>
      </w:tr>
      <w:tr>
        <w:tc>
          <w:tcPr>
            <w:tcW w:type="dxa" w:w="1800"/>
            <w:tcMar>
              <w:top w:w="110" w:type="dxa"/>
              <w:start w:w="120" w:type="dxa"/>
              <w:bottom w:w="110" w:type="dxa"/>
              <w:end w:w="120" w:type="dxa"/>
            </w:tcMar>
          </w:tcPr>
          <w:p>
            <w:pPr>
              <w:jc w:val="center"/>
            </w:pPr>
            <w:r>
              <w:rPr>
                <w:rFonts w:ascii="Aptos" w:hAnsi="Aptos"/>
                <w:sz w:val="19"/>
              </w:rPr>
              <w:t>Network</w:t>
            </w:r>
          </w:p>
        </w:tc>
        <w:tc>
          <w:tcPr>
            <w:tcW w:type="dxa" w:w="3384"/>
            <w:tcMar>
              <w:top w:w="110" w:type="dxa"/>
              <w:start w:w="120" w:type="dxa"/>
              <w:bottom w:w="110" w:type="dxa"/>
              <w:end w:w="120" w:type="dxa"/>
            </w:tcMar>
          </w:tcPr>
          <w:p>
            <w:pPr>
              <w:jc w:val="left"/>
            </w:pPr>
            <w:r>
              <w:rPr>
                <w:rFonts w:ascii="Aptos" w:hAnsi="Aptos"/>
                <w:sz w:val="19"/>
              </w:rPr>
              <w:t>Benchmarking, community, marketplace and certification</w:t>
            </w:r>
          </w:p>
        </w:tc>
        <w:tc>
          <w:tcPr>
            <w:tcW w:type="dxa" w:w="3888"/>
            <w:tcMar>
              <w:top w:w="110" w:type="dxa"/>
              <w:start w:w="120" w:type="dxa"/>
              <w:bottom w:w="110" w:type="dxa"/>
              <w:end w:w="120" w:type="dxa"/>
            </w:tcMar>
          </w:tcPr>
          <w:p>
            <w:pPr>
              <w:jc w:val="left"/>
            </w:pPr>
            <w:r>
              <w:rPr>
                <w:rFonts w:ascii="Aptos" w:hAnsi="Aptos"/>
                <w:sz w:val="19"/>
              </w:rPr>
              <w:t>The platform becomes an industry ecosystem</w:t>
            </w:r>
          </w:p>
        </w:tc>
      </w:tr>
      <w:tr>
        <w:tc>
          <w:tcPr>
            <w:tcW w:type="dxa" w:w="1800"/>
            <w:tcMar>
              <w:top w:w="110" w:type="dxa"/>
              <w:start w:w="120" w:type="dxa"/>
              <w:bottom w:w="110" w:type="dxa"/>
              <w:end w:w="120" w:type="dxa"/>
            </w:tcMar>
            <w:shd w:fill="F4F7F5"/>
          </w:tcPr>
          <w:p>
            <w:pPr>
              <w:jc w:val="center"/>
            </w:pPr>
            <w:r>
              <w:rPr>
                <w:rFonts w:ascii="Aptos" w:hAnsi="Aptos"/>
                <w:sz w:val="19"/>
              </w:rPr>
              <w:t>Expansion</w:t>
            </w:r>
          </w:p>
        </w:tc>
        <w:tc>
          <w:tcPr>
            <w:tcW w:type="dxa" w:w="3384"/>
            <w:tcMar>
              <w:top w:w="110" w:type="dxa"/>
              <w:start w:w="120" w:type="dxa"/>
              <w:bottom w:w="110" w:type="dxa"/>
              <w:end w:w="120" w:type="dxa"/>
            </w:tcMar>
            <w:shd w:fill="F4F7F5"/>
          </w:tcPr>
          <w:p>
            <w:pPr>
              <w:jc w:val="left"/>
            </w:pPr>
            <w:r>
              <w:rPr>
                <w:rFonts w:ascii="Aptos" w:hAnsi="Aptos"/>
                <w:sz w:val="19"/>
              </w:rPr>
              <w:t>Selected wider hospitality sectors</w:t>
            </w:r>
          </w:p>
        </w:tc>
        <w:tc>
          <w:tcPr>
            <w:tcW w:type="dxa" w:w="3888"/>
            <w:tcMar>
              <w:top w:w="110" w:type="dxa"/>
              <w:start w:w="120" w:type="dxa"/>
              <w:bottom w:w="110" w:type="dxa"/>
              <w:end w:w="120" w:type="dxa"/>
            </w:tcMar>
            <w:shd w:fill="F4F7F5"/>
          </w:tcPr>
          <w:p>
            <w:pPr>
              <w:jc w:val="left"/>
            </w:pPr>
            <w:r>
              <w:rPr>
                <w:rFonts w:ascii="Aptos" w:hAnsi="Aptos"/>
                <w:sz w:val="19"/>
              </w:rPr>
              <w:t>Growth without dilution of specialist excellence</w:t>
            </w:r>
          </w:p>
        </w:tc>
      </w:tr>
    </w:tbl>
    <w:p>
      <w:pPr>
        <w:spacing w:after="40"/>
      </w:pPr>
    </w:p>
    <w:p>
      <w:pPr>
        <w:pStyle w:val="Heading1"/>
      </w:pPr>
      <w:r>
        <w:t>22. Constitutional Decision Framework</w:t>
      </w:r>
    </w:p>
    <w:p>
      <w:r>
        <w:t>Before approving a major product, content or commercial decision, the responsible team should answer the following questions:</w:t>
      </w:r>
    </w:p>
    <w:p>
      <w:pPr>
        <w:pStyle w:val="ListNumber"/>
        <w:spacing w:after="80"/>
      </w:pPr>
      <w:r>
        <w:rPr>
          <w:rFonts w:ascii="Aptos" w:hAnsi="Aptos"/>
          <w:sz w:val="21"/>
        </w:rPr>
        <w:t>Which user problem or business outcome does this solve?</w:t>
      </w:r>
    </w:p>
    <w:p>
      <w:pPr>
        <w:pStyle w:val="ListNumber"/>
        <w:spacing w:after="80"/>
      </w:pPr>
      <w:r>
        <w:rPr>
          <w:rFonts w:ascii="Aptos" w:hAnsi="Aptos"/>
          <w:sz w:val="21"/>
        </w:rPr>
        <w:t>Does it make the pub simpler, safer, smarter or more profitable?</w:t>
      </w:r>
    </w:p>
    <w:p>
      <w:pPr>
        <w:pStyle w:val="ListNumber"/>
        <w:spacing w:after="80"/>
      </w:pPr>
      <w:r>
        <w:rPr>
          <w:rFonts w:ascii="Aptos" w:hAnsi="Aptos"/>
          <w:sz w:val="21"/>
        </w:rPr>
        <w:t>Can an existing object, service or component be reused?</w:t>
      </w:r>
    </w:p>
    <w:p>
      <w:pPr>
        <w:pStyle w:val="ListNumber"/>
        <w:spacing w:after="80"/>
      </w:pPr>
      <w:r>
        <w:rPr>
          <w:rFonts w:ascii="Aptos" w:hAnsi="Aptos"/>
          <w:sz w:val="21"/>
        </w:rPr>
        <w:t>What data and permissions are required?</w:t>
      </w:r>
    </w:p>
    <w:p>
      <w:pPr>
        <w:pStyle w:val="ListNumber"/>
        <w:spacing w:after="80"/>
      </w:pPr>
      <w:r>
        <w:rPr>
          <w:rFonts w:ascii="Aptos" w:hAnsi="Aptos"/>
          <w:sz w:val="21"/>
        </w:rPr>
        <w:t>What risks, human approvals and audit records are required?</w:t>
      </w:r>
    </w:p>
    <w:p>
      <w:pPr>
        <w:pStyle w:val="ListNumber"/>
        <w:spacing w:after="80"/>
      </w:pPr>
      <w:r>
        <w:rPr>
          <w:rFonts w:ascii="Aptos" w:hAnsi="Aptos"/>
          <w:sz w:val="21"/>
        </w:rPr>
        <w:t>How will the capability work on desktop, tablet and mobile?</w:t>
      </w:r>
    </w:p>
    <w:p>
      <w:pPr>
        <w:pStyle w:val="ListNumber"/>
        <w:spacing w:after="80"/>
      </w:pPr>
      <w:r>
        <w:rPr>
          <w:rFonts w:ascii="Aptos" w:hAnsi="Aptos"/>
          <w:sz w:val="21"/>
        </w:rPr>
        <w:t>How will Ask Paddy understand and explain it?</w:t>
      </w:r>
    </w:p>
    <w:p>
      <w:pPr>
        <w:pStyle w:val="ListNumber"/>
        <w:spacing w:after="80"/>
      </w:pPr>
      <w:r>
        <w:rPr>
          <w:rFonts w:ascii="Aptos" w:hAnsi="Aptos"/>
          <w:sz w:val="21"/>
        </w:rPr>
        <w:t>How will success be measured?</w:t>
      </w:r>
    </w:p>
    <w:p>
      <w:pPr>
        <w:pStyle w:val="ListNumber"/>
        <w:spacing w:after="80"/>
      </w:pPr>
      <w:r>
        <w:rPr>
          <w:rFonts w:ascii="Aptos" w:hAnsi="Aptos"/>
          <w:sz w:val="21"/>
        </w:rPr>
        <w:t>What must be documented before release?</w:t>
      </w:r>
    </w:p>
    <w:p>
      <w:pPr>
        <w:pStyle w:val="ListNumber"/>
        <w:spacing w:after="80"/>
      </w:pPr>
      <w:r>
        <w:rPr>
          <w:rFonts w:ascii="Aptos" w:hAnsi="Aptos"/>
          <w:sz w:val="21"/>
        </w:rPr>
        <w:t>Does the decision remain consistent with this Constitution?</w:t>
      </w:r>
    </w:p>
    <w:p>
      <w:pPr>
        <w:pStyle w:val="Heading1"/>
      </w:pPr>
      <w:r>
        <w:t>23. Constitutional Governance</w:t>
      </w:r>
    </w:p>
    <w:tbl>
      <w:tblPr>
        <w:tblStyle w:val="TableGrid"/>
        <w:tblW w:type="auto" w:w="0"/>
        <w:jc w:val="center"/>
        <w:tblLook w:firstColumn="1" w:firstRow="1" w:lastColumn="0" w:lastRow="0" w:noHBand="0" w:noVBand="1" w:val="04A0"/>
      </w:tblPr>
      <w:tblGrid>
        <w:gridCol w:w="4896"/>
        <w:gridCol w:w="4896"/>
      </w:tblGrid>
      <w:tr>
        <w:tc>
          <w:tcPr>
            <w:tcW w:type="dxa" w:w="2015"/>
            <w:shd w:fill="1F6B4F"/>
            <w:tcMar>
              <w:top w:w="120" w:type="dxa"/>
              <w:start w:w="120" w:type="dxa"/>
              <w:bottom w:w="120" w:type="dxa"/>
              <w:end w:w="120" w:type="dxa"/>
            </w:tcMar>
            <w:vAlign w:val="center"/>
          </w:tcPr>
          <w:p>
            <w:pPr>
              <w:jc w:val="center"/>
            </w:pPr>
            <w:r>
              <w:rPr>
                <w:rFonts w:ascii="Aptos" w:hAnsi="Aptos"/>
                <w:b/>
                <w:color w:val="FFFFFF"/>
                <w:sz w:val="19"/>
              </w:rPr>
              <w:t>Control</w:t>
            </w:r>
          </w:p>
        </w:tc>
        <w:tc>
          <w:tcPr>
            <w:tcW w:type="dxa" w:w="7056"/>
            <w:shd w:fill="1F6B4F"/>
            <w:tcMar>
              <w:top w:w="120" w:type="dxa"/>
              <w:start w:w="120" w:type="dxa"/>
              <w:bottom w:w="120" w:type="dxa"/>
              <w:end w:w="120" w:type="dxa"/>
            </w:tcMar>
            <w:vAlign w:val="center"/>
          </w:tcPr>
          <w:p>
            <w:pPr>
              <w:jc w:val="center"/>
            </w:pPr>
            <w:r>
              <w:rPr>
                <w:rFonts w:ascii="Aptos" w:hAnsi="Aptos"/>
                <w:b/>
                <w:color w:val="FFFFFF"/>
                <w:sz w:val="19"/>
              </w:rPr>
              <w:t>Requirement</w:t>
            </w:r>
          </w:p>
        </w:tc>
      </w:tr>
      <w:tr>
        <w:tc>
          <w:tcPr>
            <w:tcW w:type="dxa" w:w="2015"/>
            <w:tcMar>
              <w:top w:w="110" w:type="dxa"/>
              <w:start w:w="120" w:type="dxa"/>
              <w:bottom w:w="110" w:type="dxa"/>
              <w:end w:w="120" w:type="dxa"/>
            </w:tcMar>
          </w:tcPr>
          <w:p>
            <w:pPr>
              <w:jc w:val="left"/>
            </w:pPr>
            <w:r>
              <w:rPr>
                <w:rFonts w:ascii="Aptos" w:hAnsi="Aptos"/>
                <w:sz w:val="19"/>
              </w:rPr>
              <w:t>Ownership</w:t>
            </w:r>
          </w:p>
        </w:tc>
        <w:tc>
          <w:tcPr>
            <w:tcW w:type="dxa" w:w="7056"/>
            <w:tcMar>
              <w:top w:w="110" w:type="dxa"/>
              <w:start w:w="120" w:type="dxa"/>
              <w:bottom w:w="110" w:type="dxa"/>
              <w:end w:w="120" w:type="dxa"/>
            </w:tcMar>
          </w:tcPr>
          <w:p>
            <w:pPr>
              <w:jc w:val="left"/>
            </w:pPr>
            <w:r>
              <w:rPr>
                <w:rFonts w:ascii="Aptos" w:hAnsi="Aptos"/>
                <w:sz w:val="19"/>
              </w:rPr>
              <w:t>The Executive Leadership Team owns this Constitution.</w:t>
            </w:r>
          </w:p>
        </w:tc>
      </w:tr>
      <w:tr>
        <w:tc>
          <w:tcPr>
            <w:tcW w:type="dxa" w:w="2015"/>
            <w:tcMar>
              <w:top w:w="110" w:type="dxa"/>
              <w:start w:w="120" w:type="dxa"/>
              <w:bottom w:w="110" w:type="dxa"/>
              <w:end w:w="120" w:type="dxa"/>
            </w:tcMar>
            <w:shd w:fill="F4F7F5"/>
          </w:tcPr>
          <w:p>
            <w:pPr>
              <w:jc w:val="left"/>
            </w:pPr>
            <w:r>
              <w:rPr>
                <w:rFonts w:ascii="Aptos" w:hAnsi="Aptos"/>
                <w:sz w:val="19"/>
              </w:rPr>
              <w:t>Interpretation</w:t>
            </w:r>
          </w:p>
        </w:tc>
        <w:tc>
          <w:tcPr>
            <w:tcW w:type="dxa" w:w="7056"/>
            <w:tcMar>
              <w:top w:w="110" w:type="dxa"/>
              <w:start w:w="120" w:type="dxa"/>
              <w:bottom w:w="110" w:type="dxa"/>
              <w:end w:w="120" w:type="dxa"/>
            </w:tcMar>
            <w:shd w:fill="F4F7F5"/>
          </w:tcPr>
          <w:p>
            <w:pPr>
              <w:jc w:val="left"/>
            </w:pPr>
            <w:r>
              <w:rPr>
                <w:rFonts w:ascii="Aptos" w:hAnsi="Aptos"/>
                <w:sz w:val="19"/>
              </w:rPr>
              <w:t>The Product Council provides operational interpretation.</w:t>
            </w:r>
          </w:p>
        </w:tc>
      </w:tr>
      <w:tr>
        <w:tc>
          <w:tcPr>
            <w:tcW w:type="dxa" w:w="2015"/>
            <w:tcMar>
              <w:top w:w="110" w:type="dxa"/>
              <w:start w:w="120" w:type="dxa"/>
              <w:bottom w:w="110" w:type="dxa"/>
              <w:end w:w="120" w:type="dxa"/>
            </w:tcMar>
          </w:tcPr>
          <w:p>
            <w:pPr>
              <w:jc w:val="left"/>
            </w:pPr>
            <w:r>
              <w:rPr>
                <w:rFonts w:ascii="Aptos" w:hAnsi="Aptos"/>
                <w:sz w:val="19"/>
              </w:rPr>
              <w:t>Exceptions</w:t>
            </w:r>
          </w:p>
        </w:tc>
        <w:tc>
          <w:tcPr>
            <w:tcW w:type="dxa" w:w="7056"/>
            <w:tcMar>
              <w:top w:w="110" w:type="dxa"/>
              <w:start w:w="120" w:type="dxa"/>
              <w:bottom w:w="110" w:type="dxa"/>
              <w:end w:w="120" w:type="dxa"/>
            </w:tcMar>
          </w:tcPr>
          <w:p>
            <w:pPr>
              <w:jc w:val="left"/>
            </w:pPr>
            <w:r>
              <w:rPr>
                <w:rFonts w:ascii="Aptos" w:hAnsi="Aptos"/>
                <w:sz w:val="19"/>
              </w:rPr>
              <w:t>Material exceptions require documented executive approval.</w:t>
            </w:r>
          </w:p>
        </w:tc>
      </w:tr>
      <w:tr>
        <w:tc>
          <w:tcPr>
            <w:tcW w:type="dxa" w:w="2015"/>
            <w:tcMar>
              <w:top w:w="110" w:type="dxa"/>
              <w:start w:w="120" w:type="dxa"/>
              <w:bottom w:w="110" w:type="dxa"/>
              <w:end w:w="120" w:type="dxa"/>
            </w:tcMar>
            <w:shd w:fill="F4F7F5"/>
          </w:tcPr>
          <w:p>
            <w:pPr>
              <w:jc w:val="left"/>
            </w:pPr>
            <w:r>
              <w:rPr>
                <w:rFonts w:ascii="Aptos" w:hAnsi="Aptos"/>
                <w:sz w:val="19"/>
              </w:rPr>
              <w:t>Review</w:t>
            </w:r>
          </w:p>
        </w:tc>
        <w:tc>
          <w:tcPr>
            <w:tcW w:type="dxa" w:w="7056"/>
            <w:tcMar>
              <w:top w:w="110" w:type="dxa"/>
              <w:start w:w="120" w:type="dxa"/>
              <w:bottom w:w="110" w:type="dxa"/>
              <w:end w:w="120" w:type="dxa"/>
            </w:tcMar>
            <w:shd w:fill="F4F7F5"/>
          </w:tcPr>
          <w:p>
            <w:pPr>
              <w:jc w:val="left"/>
            </w:pPr>
            <w:r>
              <w:rPr>
                <w:rFonts w:ascii="Aptos" w:hAnsi="Aptos"/>
                <w:sz w:val="19"/>
              </w:rPr>
              <w:t>Formal review occurs at least annually.</w:t>
            </w:r>
          </w:p>
        </w:tc>
      </w:tr>
      <w:tr>
        <w:tc>
          <w:tcPr>
            <w:tcW w:type="dxa" w:w="2015"/>
            <w:tcMar>
              <w:top w:w="110" w:type="dxa"/>
              <w:start w:w="120" w:type="dxa"/>
              <w:bottom w:w="110" w:type="dxa"/>
              <w:end w:w="120" w:type="dxa"/>
            </w:tcMar>
          </w:tcPr>
          <w:p>
            <w:pPr>
              <w:jc w:val="left"/>
            </w:pPr>
            <w:r>
              <w:rPr>
                <w:rFonts w:ascii="Aptos" w:hAnsi="Aptos"/>
                <w:sz w:val="19"/>
              </w:rPr>
              <w:t>Amendment</w:t>
            </w:r>
          </w:p>
        </w:tc>
        <w:tc>
          <w:tcPr>
            <w:tcW w:type="dxa" w:w="7056"/>
            <w:tcMar>
              <w:top w:w="110" w:type="dxa"/>
              <w:start w:w="120" w:type="dxa"/>
              <w:bottom w:w="110" w:type="dxa"/>
              <w:end w:w="120" w:type="dxa"/>
            </w:tcMar>
          </w:tcPr>
          <w:p>
            <w:pPr>
              <w:jc w:val="left"/>
            </w:pPr>
            <w:r>
              <w:rPr>
                <w:rFonts w:ascii="Aptos" w:hAnsi="Aptos"/>
                <w:sz w:val="19"/>
              </w:rPr>
              <w:t>Changes require a version increment, rationale and approval record.</w:t>
            </w:r>
          </w:p>
        </w:tc>
      </w:tr>
      <w:tr>
        <w:tc>
          <w:tcPr>
            <w:tcW w:type="dxa" w:w="2015"/>
            <w:tcMar>
              <w:top w:w="110" w:type="dxa"/>
              <w:start w:w="120" w:type="dxa"/>
              <w:bottom w:w="110" w:type="dxa"/>
              <w:end w:w="120" w:type="dxa"/>
            </w:tcMar>
            <w:shd w:fill="F4F7F5"/>
          </w:tcPr>
          <w:p>
            <w:pPr>
              <w:jc w:val="left"/>
            </w:pPr>
            <w:r>
              <w:rPr>
                <w:rFonts w:ascii="Aptos" w:hAnsi="Aptos"/>
                <w:sz w:val="19"/>
              </w:rPr>
              <w:t>Communication</w:t>
            </w:r>
          </w:p>
        </w:tc>
        <w:tc>
          <w:tcPr>
            <w:tcW w:type="dxa" w:w="7056"/>
            <w:tcMar>
              <w:top w:w="110" w:type="dxa"/>
              <w:start w:w="120" w:type="dxa"/>
              <w:bottom w:w="110" w:type="dxa"/>
              <w:end w:w="120" w:type="dxa"/>
            </w:tcMar>
            <w:shd w:fill="F4F7F5"/>
          </w:tcPr>
          <w:p>
            <w:pPr>
              <w:jc w:val="left"/>
            </w:pPr>
            <w:r>
              <w:rPr>
                <w:rFonts w:ascii="Aptos" w:hAnsi="Aptos"/>
                <w:sz w:val="19"/>
              </w:rPr>
              <w:t>Material changes must be communicated to affected teams.</w:t>
            </w:r>
          </w:p>
        </w:tc>
      </w:tr>
      <w:tr>
        <w:tc>
          <w:tcPr>
            <w:tcW w:type="dxa" w:w="2015"/>
            <w:tcMar>
              <w:top w:w="110" w:type="dxa"/>
              <w:start w:w="120" w:type="dxa"/>
              <w:bottom w:w="110" w:type="dxa"/>
              <w:end w:w="120" w:type="dxa"/>
            </w:tcMar>
          </w:tcPr>
          <w:p>
            <w:pPr>
              <w:jc w:val="left"/>
            </w:pPr>
            <w:r>
              <w:rPr>
                <w:rFonts w:ascii="Aptos" w:hAnsi="Aptos"/>
                <w:sz w:val="19"/>
              </w:rPr>
              <w:t>Subordinate Standards</w:t>
            </w:r>
          </w:p>
        </w:tc>
        <w:tc>
          <w:tcPr>
            <w:tcW w:type="dxa" w:w="7056"/>
            <w:tcMar>
              <w:top w:w="110" w:type="dxa"/>
              <w:start w:w="120" w:type="dxa"/>
              <w:bottom w:w="110" w:type="dxa"/>
              <w:end w:w="120" w:type="dxa"/>
            </w:tcMar>
          </w:tcPr>
          <w:p>
            <w:pPr>
              <w:jc w:val="left"/>
            </w:pPr>
            <w:r>
              <w:rPr>
                <w:rFonts w:ascii="Aptos" w:hAnsi="Aptos"/>
                <w:sz w:val="19"/>
              </w:rPr>
              <w:t>All Project Zero publications must align with this Constitution.</w:t>
            </w:r>
          </w:p>
        </w:tc>
      </w:tr>
    </w:tbl>
    <w:p>
      <w:pPr>
        <w:spacing w:after="40"/>
      </w:pPr>
    </w:p>
    <w:p>
      <w:r>
        <w:br w:type="page"/>
      </w:r>
    </w:p>
    <w:p>
      <w:pPr>
        <w:pStyle w:val="Heading1"/>
      </w:pPr>
      <w:r>
        <w:t>24. Adoption and Commitment</w:t>
      </w:r>
    </w:p>
    <w:p>
      <w:r>
        <w:t>By adopting this Constitution, Irish Pub World commits to building a platform where technology, knowledge, people and artificial intelligence work together to improve the daily reality of Irish hospitality.</w:t>
      </w:r>
    </w:p>
    <w:tbl>
      <w:tblPr>
        <w:tblW w:type="auto" w:w="0"/>
        <w:jc w:val="center"/>
        <w:tblLayout w:type="fixed"/>
        <w:tblLook w:firstColumn="1" w:firstRow="1" w:lastColumn="0" w:lastRow="0" w:noHBand="0" w:noVBand="1" w:val="04A0"/>
      </w:tblPr>
      <w:tblGrid>
        <w:gridCol w:w="9792"/>
      </w:tblGrid>
      <w:tr>
        <w:tc>
          <w:tcPr>
            <w:tcW w:type="dxa" w:w="9144"/>
            <w:shd w:fill="EAF5EF"/>
            <w:tcMar>
              <w:top w:w="180" w:type="dxa"/>
              <w:start w:w="220" w:type="dxa"/>
              <w:bottom w:w="180" w:type="dxa"/>
              <w:end w:w="220" w:type="dxa"/>
            </w:tcMar>
            <w:tcBorders>
              <w:top w:val="single" w:sz="8" w:color="1F6B4F"/>
              <w:left w:val="single" w:sz="8" w:color="1F6B4F"/>
              <w:bottom w:val="single" w:sz="8" w:color="1F6B4F"/>
              <w:right w:val="single" w:sz="8" w:color="1F6B4F"/>
            </w:tcBorders>
          </w:tcPr>
          <w:p>
            <w:r>
              <w:rPr>
                <w:rFonts w:ascii="Aptos" w:hAnsi="Aptos"/>
                <w:b/>
                <w:color w:val="1F6B4F"/>
                <w:sz w:val="22"/>
              </w:rPr>
              <w:t>Founding Commitment</w:t>
              <w:br/>
            </w:r>
            <w:r>
              <w:rPr>
                <w:rFonts w:ascii="Aptos" w:hAnsi="Aptos"/>
                <w:b w:val="0"/>
                <w:color w:val="24302A"/>
                <w:sz w:val="21"/>
              </w:rPr>
              <w:t>Irish Pub World will not measure success by the number of features created. It will measure success by the quality of decisions improved, risks reduced, knowledge shared, people developed, guests served and pubs strengthened.</w:t>
            </w:r>
          </w:p>
        </w:tc>
      </w:tr>
    </w:tbl>
    <w:p>
      <w:pPr>
        <w:spacing w:after="40"/>
      </w:pPr>
    </w:p>
    <w:tbl>
      <w:tblPr>
        <w:tblW w:type="auto" w:w="0"/>
        <w:jc w:val="center"/>
        <w:tblLook w:firstColumn="1" w:firstRow="1" w:lastColumn="0" w:lastRow="0" w:noHBand="0" w:noVBand="1" w:val="04A0"/>
      </w:tblPr>
      <w:tblGrid>
        <w:gridCol w:w="4896"/>
        <w:gridCol w:w="4896"/>
      </w:tblGrid>
      <w:tr>
        <w:tc>
          <w:tcPr>
            <w:tcW w:type="dxa" w:w="2304"/>
            <w:shd w:fill="EAF5EF"/>
            <w:tcMar>
              <w:top w:w="160" w:type="dxa"/>
              <w:start w:w="140" w:type="dxa"/>
              <w:bottom w:w="160" w:type="dxa"/>
              <w:end w:w="140" w:type="dxa"/>
            </w:tcMar>
          </w:tcPr>
          <w:p>
            <w:r>
              <w:rPr>
                <w:rFonts w:ascii="Aptos" w:hAnsi="Aptos"/>
                <w:b/>
                <w:color w:val="1F6B4F"/>
                <w:sz w:val="19"/>
              </w:rPr>
              <w:t>Approved By</w:t>
            </w:r>
          </w:p>
        </w:tc>
        <w:tc>
          <w:tcPr>
            <w:tcW w:type="dxa" w:w="6480"/>
            <w:tcMar>
              <w:top w:w="160" w:type="dxa"/>
              <w:start w:w="140" w:type="dxa"/>
              <w:bottom w:w="160" w:type="dxa"/>
              <w:end w:w="140" w:type="dxa"/>
            </w:tcMar>
          </w:tcPr>
          <w:p>
            <w:r>
              <w:rPr>
                <w:rFonts w:ascii="Aptos" w:hAnsi="Aptos"/>
                <w:sz w:val="19"/>
              </w:rPr>
              <w:t xml:space="preserve"> </w:t>
            </w:r>
          </w:p>
        </w:tc>
      </w:tr>
      <w:tr>
        <w:tc>
          <w:tcPr>
            <w:tcW w:type="dxa" w:w="2304"/>
            <w:shd w:fill="EAF5EF"/>
            <w:tcMar>
              <w:top w:w="160" w:type="dxa"/>
              <w:start w:w="140" w:type="dxa"/>
              <w:bottom w:w="160" w:type="dxa"/>
              <w:end w:w="140" w:type="dxa"/>
            </w:tcMar>
          </w:tcPr>
          <w:p>
            <w:r>
              <w:rPr>
                <w:rFonts w:ascii="Aptos" w:hAnsi="Aptos"/>
                <w:b/>
                <w:color w:val="1F6B4F"/>
                <w:sz w:val="19"/>
              </w:rPr>
              <w:t>Role</w:t>
            </w:r>
          </w:p>
        </w:tc>
        <w:tc>
          <w:tcPr>
            <w:tcW w:type="dxa" w:w="6480"/>
            <w:tcMar>
              <w:top w:w="160" w:type="dxa"/>
              <w:start w:w="140" w:type="dxa"/>
              <w:bottom w:w="160" w:type="dxa"/>
              <w:end w:w="140" w:type="dxa"/>
            </w:tcMar>
          </w:tcPr>
          <w:p>
            <w:r>
              <w:rPr>
                <w:rFonts w:ascii="Aptos" w:hAnsi="Aptos"/>
                <w:sz w:val="19"/>
              </w:rPr>
              <w:t>Chief Executive / Founder</w:t>
            </w:r>
          </w:p>
        </w:tc>
      </w:tr>
      <w:tr>
        <w:tc>
          <w:tcPr>
            <w:tcW w:type="dxa" w:w="2304"/>
            <w:shd w:fill="EAF5EF"/>
            <w:tcMar>
              <w:top w:w="160" w:type="dxa"/>
              <w:start w:w="140" w:type="dxa"/>
              <w:bottom w:w="160" w:type="dxa"/>
              <w:end w:w="140" w:type="dxa"/>
            </w:tcMar>
          </w:tcPr>
          <w:p>
            <w:r>
              <w:rPr>
                <w:rFonts w:ascii="Aptos" w:hAnsi="Aptos"/>
                <w:b/>
                <w:color w:val="1F6B4F"/>
                <w:sz w:val="19"/>
              </w:rPr>
              <w:t>Signature</w:t>
            </w:r>
          </w:p>
        </w:tc>
        <w:tc>
          <w:tcPr>
            <w:tcW w:type="dxa" w:w="6480"/>
            <w:tcMar>
              <w:top w:w="160" w:type="dxa"/>
              <w:start w:w="140" w:type="dxa"/>
              <w:bottom w:w="160" w:type="dxa"/>
              <w:end w:w="140" w:type="dxa"/>
            </w:tcMar>
          </w:tcPr>
          <w:p>
            <w:r>
              <w:rPr>
                <w:rFonts w:ascii="Aptos" w:hAnsi="Aptos"/>
                <w:sz w:val="19"/>
              </w:rPr>
              <w:t xml:space="preserve"> </w:t>
            </w:r>
          </w:p>
        </w:tc>
      </w:tr>
      <w:tr>
        <w:tc>
          <w:tcPr>
            <w:tcW w:type="dxa" w:w="2304"/>
            <w:shd w:fill="EAF5EF"/>
            <w:tcMar>
              <w:top w:w="160" w:type="dxa"/>
              <w:start w:w="140" w:type="dxa"/>
              <w:bottom w:w="160" w:type="dxa"/>
              <w:end w:w="140" w:type="dxa"/>
            </w:tcMar>
          </w:tcPr>
          <w:p>
            <w:r>
              <w:rPr>
                <w:rFonts w:ascii="Aptos" w:hAnsi="Aptos"/>
                <w:b/>
                <w:color w:val="1F6B4F"/>
                <w:sz w:val="19"/>
              </w:rPr>
              <w:t>Date</w:t>
            </w:r>
          </w:p>
        </w:tc>
        <w:tc>
          <w:tcPr>
            <w:tcW w:type="dxa" w:w="6480"/>
            <w:tcMar>
              <w:top w:w="160" w:type="dxa"/>
              <w:start w:w="140" w:type="dxa"/>
              <w:bottom w:w="160" w:type="dxa"/>
              <w:end w:w="140" w:type="dxa"/>
            </w:tcMar>
          </w:tcPr>
          <w:p>
            <w:r>
              <w:rPr>
                <w:rFonts w:ascii="Aptos" w:hAnsi="Aptos"/>
                <w:sz w:val="19"/>
              </w:rPr>
              <w:t xml:space="preserve"> </w:t>
            </w:r>
          </w:p>
        </w:tc>
      </w:tr>
    </w:tbl>
    <w:p>
      <w:r>
        <w:br w:type="page"/>
      </w:r>
    </w:p>
    <w:p>
      <w:pPr>
        <w:pStyle w:val="Heading1"/>
      </w:pPr>
      <w:r>
        <w:t>Appendix A — Constitutional Vocabulary</w:t>
      </w:r>
    </w:p>
    <w:tbl>
      <w:tblPr>
        <w:tblStyle w:val="TableGrid"/>
        <w:tblW w:type="auto" w:w="0"/>
        <w:jc w:val="center"/>
        <w:tblLook w:firstColumn="1" w:firstRow="1" w:lastColumn="0" w:lastRow="0" w:noHBand="0" w:noVBand="1" w:val="04A0"/>
      </w:tblPr>
      <w:tblGrid>
        <w:gridCol w:w="4896"/>
        <w:gridCol w:w="4896"/>
      </w:tblGrid>
      <w:tr>
        <w:tc>
          <w:tcPr>
            <w:tcW w:type="dxa" w:w="2232"/>
            <w:shd w:fill="1F6B4F"/>
            <w:tcMar>
              <w:top w:w="120" w:type="dxa"/>
              <w:start w:w="120" w:type="dxa"/>
              <w:bottom w:w="120" w:type="dxa"/>
              <w:end w:w="120" w:type="dxa"/>
            </w:tcMar>
            <w:vAlign w:val="center"/>
          </w:tcPr>
          <w:p>
            <w:pPr>
              <w:jc w:val="center"/>
            </w:pPr>
            <w:r>
              <w:rPr>
                <w:rFonts w:ascii="Aptos" w:hAnsi="Aptos"/>
                <w:b/>
                <w:color w:val="FFFFFF"/>
                <w:sz w:val="19"/>
              </w:rPr>
              <w:t>Term</w:t>
            </w:r>
          </w:p>
        </w:tc>
        <w:tc>
          <w:tcPr>
            <w:tcW w:type="dxa" w:w="6840"/>
            <w:shd w:fill="1F6B4F"/>
            <w:tcMar>
              <w:top w:w="120" w:type="dxa"/>
              <w:start w:w="120" w:type="dxa"/>
              <w:bottom w:w="120" w:type="dxa"/>
              <w:end w:w="120" w:type="dxa"/>
            </w:tcMar>
            <w:vAlign w:val="center"/>
          </w:tcPr>
          <w:p>
            <w:pPr>
              <w:jc w:val="center"/>
            </w:pPr>
            <w:r>
              <w:rPr>
                <w:rFonts w:ascii="Aptos" w:hAnsi="Aptos"/>
                <w:b/>
                <w:color w:val="FFFFFF"/>
                <w:sz w:val="19"/>
              </w:rPr>
              <w:t>Meaning</w:t>
            </w:r>
          </w:p>
        </w:tc>
      </w:tr>
      <w:tr>
        <w:tc>
          <w:tcPr>
            <w:tcW w:type="dxa" w:w="2232"/>
            <w:tcMar>
              <w:top w:w="110" w:type="dxa"/>
              <w:start w:w="120" w:type="dxa"/>
              <w:bottom w:w="110" w:type="dxa"/>
              <w:end w:w="120" w:type="dxa"/>
            </w:tcMar>
          </w:tcPr>
          <w:p>
            <w:pPr>
              <w:jc w:val="left"/>
            </w:pPr>
            <w:r>
              <w:rPr>
                <w:rFonts w:ascii="Aptos" w:hAnsi="Aptos"/>
                <w:sz w:val="19"/>
              </w:rPr>
              <w:t>Enterprise Object</w:t>
            </w:r>
          </w:p>
        </w:tc>
        <w:tc>
          <w:tcPr>
            <w:tcW w:type="dxa" w:w="6840"/>
            <w:tcMar>
              <w:top w:w="110" w:type="dxa"/>
              <w:start w:w="120" w:type="dxa"/>
              <w:bottom w:w="110" w:type="dxa"/>
              <w:end w:w="120" w:type="dxa"/>
            </w:tcMar>
          </w:tcPr>
          <w:p>
            <w:pPr>
              <w:jc w:val="left"/>
            </w:pPr>
            <w:r>
              <w:rPr>
                <w:rFonts w:ascii="Aptos" w:hAnsi="Aptos"/>
                <w:sz w:val="19"/>
              </w:rPr>
              <w:t>A governed, reusable record with identity, content, relationships, permissions and history.</w:t>
            </w:r>
          </w:p>
        </w:tc>
      </w:tr>
      <w:tr>
        <w:tc>
          <w:tcPr>
            <w:tcW w:type="dxa" w:w="2232"/>
            <w:tcMar>
              <w:top w:w="110" w:type="dxa"/>
              <w:start w:w="120" w:type="dxa"/>
              <w:bottom w:w="110" w:type="dxa"/>
              <w:end w:w="120" w:type="dxa"/>
            </w:tcMar>
            <w:shd w:fill="F4F7F5"/>
          </w:tcPr>
          <w:p>
            <w:pPr>
              <w:jc w:val="left"/>
            </w:pPr>
            <w:r>
              <w:rPr>
                <w:rFonts w:ascii="Aptos" w:hAnsi="Aptos"/>
                <w:sz w:val="19"/>
              </w:rPr>
              <w:t>Knowledge Graph</w:t>
            </w:r>
          </w:p>
        </w:tc>
        <w:tc>
          <w:tcPr>
            <w:tcW w:type="dxa" w:w="6840"/>
            <w:tcMar>
              <w:top w:w="110" w:type="dxa"/>
              <w:start w:w="120" w:type="dxa"/>
              <w:bottom w:w="110" w:type="dxa"/>
              <w:end w:w="120" w:type="dxa"/>
            </w:tcMar>
            <w:shd w:fill="F4F7F5"/>
          </w:tcPr>
          <w:p>
            <w:pPr>
              <w:jc w:val="left"/>
            </w:pPr>
            <w:r>
              <w:rPr>
                <w:rFonts w:ascii="Aptos" w:hAnsi="Aptos"/>
                <w:sz w:val="19"/>
              </w:rPr>
              <w:t>The network of typed relationships connecting Enterprise Objects.</w:t>
            </w:r>
          </w:p>
        </w:tc>
      </w:tr>
      <w:tr>
        <w:tc>
          <w:tcPr>
            <w:tcW w:type="dxa" w:w="2232"/>
            <w:tcMar>
              <w:top w:w="110" w:type="dxa"/>
              <w:start w:w="120" w:type="dxa"/>
              <w:bottom w:w="110" w:type="dxa"/>
              <w:end w:w="120" w:type="dxa"/>
            </w:tcMar>
          </w:tcPr>
          <w:p>
            <w:pPr>
              <w:jc w:val="left"/>
            </w:pPr>
            <w:r>
              <w:rPr>
                <w:rFonts w:ascii="Aptos" w:hAnsi="Aptos"/>
                <w:sz w:val="19"/>
              </w:rPr>
              <w:t>Ask Paddy</w:t>
            </w:r>
          </w:p>
        </w:tc>
        <w:tc>
          <w:tcPr>
            <w:tcW w:type="dxa" w:w="6840"/>
            <w:tcMar>
              <w:top w:w="110" w:type="dxa"/>
              <w:start w:w="120" w:type="dxa"/>
              <w:bottom w:w="110" w:type="dxa"/>
              <w:end w:w="120" w:type="dxa"/>
            </w:tcMar>
          </w:tcPr>
          <w:p>
            <w:pPr>
              <w:jc w:val="left"/>
            </w:pPr>
            <w:r>
              <w:rPr>
                <w:rFonts w:ascii="Aptos" w:hAnsi="Aptos"/>
                <w:sz w:val="19"/>
              </w:rPr>
              <w:t>The Irish Pub World intelligence layer and family of role-specific assistants.</w:t>
            </w:r>
          </w:p>
        </w:tc>
      </w:tr>
      <w:tr>
        <w:tc>
          <w:tcPr>
            <w:tcW w:type="dxa" w:w="2232"/>
            <w:tcMar>
              <w:top w:w="110" w:type="dxa"/>
              <w:start w:w="120" w:type="dxa"/>
              <w:bottom w:w="110" w:type="dxa"/>
              <w:end w:w="120" w:type="dxa"/>
            </w:tcMar>
            <w:shd w:fill="F4F7F5"/>
          </w:tcPr>
          <w:p>
            <w:pPr>
              <w:jc w:val="left"/>
            </w:pPr>
            <w:r>
              <w:rPr>
                <w:rFonts w:ascii="Aptos" w:hAnsi="Aptos"/>
                <w:sz w:val="19"/>
              </w:rPr>
              <w:t>Digital Twin</w:t>
            </w:r>
          </w:p>
        </w:tc>
        <w:tc>
          <w:tcPr>
            <w:tcW w:type="dxa" w:w="6840"/>
            <w:tcMar>
              <w:top w:w="110" w:type="dxa"/>
              <w:start w:w="120" w:type="dxa"/>
              <w:bottom w:w="110" w:type="dxa"/>
              <w:end w:w="120" w:type="dxa"/>
            </w:tcMar>
            <w:shd w:fill="F4F7F5"/>
          </w:tcPr>
          <w:p>
            <w:pPr>
              <w:jc w:val="left"/>
            </w:pPr>
            <w:r>
              <w:rPr>
                <w:rFonts w:ascii="Aptos" w:hAnsi="Aptos"/>
                <w:sz w:val="19"/>
              </w:rPr>
              <w:t>A current representation of a pub, location, person, guest, asset or process built from connected data.</w:t>
            </w:r>
          </w:p>
        </w:tc>
      </w:tr>
      <w:tr>
        <w:tc>
          <w:tcPr>
            <w:tcW w:type="dxa" w:w="2232"/>
            <w:tcMar>
              <w:top w:w="110" w:type="dxa"/>
              <w:start w:w="120" w:type="dxa"/>
              <w:bottom w:w="110" w:type="dxa"/>
              <w:end w:w="120" w:type="dxa"/>
            </w:tcMar>
          </w:tcPr>
          <w:p>
            <w:pPr>
              <w:jc w:val="left"/>
            </w:pPr>
            <w:r>
              <w:rPr>
                <w:rFonts w:ascii="Aptos" w:hAnsi="Aptos"/>
                <w:sz w:val="19"/>
              </w:rPr>
              <w:t>Gold Standard</w:t>
            </w:r>
          </w:p>
        </w:tc>
        <w:tc>
          <w:tcPr>
            <w:tcW w:type="dxa" w:w="6840"/>
            <w:tcMar>
              <w:top w:w="110" w:type="dxa"/>
              <w:start w:w="120" w:type="dxa"/>
              <w:bottom w:w="110" w:type="dxa"/>
              <w:end w:w="120" w:type="dxa"/>
            </w:tcMar>
          </w:tcPr>
          <w:p>
            <w:pPr>
              <w:jc w:val="left"/>
            </w:pPr>
            <w:r>
              <w:rPr>
                <w:rFonts w:ascii="Aptos" w:hAnsi="Aptos"/>
                <w:sz w:val="19"/>
              </w:rPr>
              <w:t>An approved Enterprise Object suitable for enterprise-wide operational use.</w:t>
            </w:r>
          </w:p>
        </w:tc>
      </w:tr>
      <w:tr>
        <w:tc>
          <w:tcPr>
            <w:tcW w:type="dxa" w:w="2232"/>
            <w:tcMar>
              <w:top w:w="110" w:type="dxa"/>
              <w:start w:w="120" w:type="dxa"/>
              <w:bottom w:w="110" w:type="dxa"/>
              <w:end w:w="120" w:type="dxa"/>
            </w:tcMar>
            <w:shd w:fill="F4F7F5"/>
          </w:tcPr>
          <w:p>
            <w:pPr>
              <w:jc w:val="left"/>
            </w:pPr>
            <w:r>
              <w:rPr>
                <w:rFonts w:ascii="Aptos" w:hAnsi="Aptos"/>
                <w:sz w:val="19"/>
              </w:rPr>
              <w:t>Diamond Standard</w:t>
            </w:r>
          </w:p>
        </w:tc>
        <w:tc>
          <w:tcPr>
            <w:tcW w:type="dxa" w:w="6840"/>
            <w:tcMar>
              <w:top w:w="110" w:type="dxa"/>
              <w:start w:w="120" w:type="dxa"/>
              <w:bottom w:w="110" w:type="dxa"/>
              <w:end w:w="120" w:type="dxa"/>
            </w:tcMar>
            <w:shd w:fill="F4F7F5"/>
          </w:tcPr>
          <w:p>
            <w:pPr>
              <w:jc w:val="left"/>
            </w:pPr>
            <w:r>
              <w:rPr>
                <w:rFonts w:ascii="Aptos" w:hAnsi="Aptos"/>
                <w:sz w:val="19"/>
              </w:rPr>
              <w:t>A premium, multimedia and fully connected showcase object.</w:t>
            </w:r>
          </w:p>
        </w:tc>
      </w:tr>
      <w:tr>
        <w:tc>
          <w:tcPr>
            <w:tcW w:type="dxa" w:w="2232"/>
            <w:tcMar>
              <w:top w:w="110" w:type="dxa"/>
              <w:start w:w="120" w:type="dxa"/>
              <w:bottom w:w="110" w:type="dxa"/>
              <w:end w:w="120" w:type="dxa"/>
            </w:tcMar>
          </w:tcPr>
          <w:p>
            <w:pPr>
              <w:jc w:val="left"/>
            </w:pPr>
            <w:r>
              <w:rPr>
                <w:rFonts w:ascii="Aptos" w:hAnsi="Aptos"/>
                <w:sz w:val="19"/>
              </w:rPr>
              <w:t>Human-in-the-Loop</w:t>
            </w:r>
          </w:p>
        </w:tc>
        <w:tc>
          <w:tcPr>
            <w:tcW w:type="dxa" w:w="6840"/>
            <w:tcMar>
              <w:top w:w="110" w:type="dxa"/>
              <w:start w:w="120" w:type="dxa"/>
              <w:bottom w:w="110" w:type="dxa"/>
              <w:end w:w="120" w:type="dxa"/>
            </w:tcMar>
          </w:tcPr>
          <w:p>
            <w:pPr>
              <w:jc w:val="left"/>
            </w:pPr>
            <w:r>
              <w:rPr>
                <w:rFonts w:ascii="Aptos" w:hAnsi="Aptos"/>
                <w:sz w:val="19"/>
              </w:rPr>
              <w:t>A control requiring an authorized person to review or approve an AI or automated action.</w:t>
            </w:r>
          </w:p>
        </w:tc>
      </w:tr>
      <w:tr>
        <w:tc>
          <w:tcPr>
            <w:tcW w:type="dxa" w:w="2232"/>
            <w:tcMar>
              <w:top w:w="110" w:type="dxa"/>
              <w:start w:w="120" w:type="dxa"/>
              <w:bottom w:w="110" w:type="dxa"/>
              <w:end w:w="120" w:type="dxa"/>
            </w:tcMar>
            <w:shd w:fill="F4F7F5"/>
          </w:tcPr>
          <w:p>
            <w:pPr>
              <w:jc w:val="left"/>
            </w:pPr>
            <w:r>
              <w:rPr>
                <w:rFonts w:ascii="Aptos" w:hAnsi="Aptos"/>
                <w:sz w:val="19"/>
              </w:rPr>
              <w:t>Multi-Tenancy</w:t>
            </w:r>
          </w:p>
        </w:tc>
        <w:tc>
          <w:tcPr>
            <w:tcW w:type="dxa" w:w="6840"/>
            <w:tcMar>
              <w:top w:w="110" w:type="dxa"/>
              <w:start w:w="120" w:type="dxa"/>
              <w:bottom w:w="110" w:type="dxa"/>
              <w:end w:w="120" w:type="dxa"/>
            </w:tcMar>
            <w:shd w:fill="F4F7F5"/>
          </w:tcPr>
          <w:p>
            <w:pPr>
              <w:jc w:val="left"/>
            </w:pPr>
            <w:r>
              <w:rPr>
                <w:rFonts w:ascii="Aptos" w:hAnsi="Aptos"/>
                <w:sz w:val="19"/>
              </w:rPr>
              <w:t>An architecture supporting multiple customer organizations with secure data isolation.</w:t>
            </w:r>
          </w:p>
        </w:tc>
      </w:tr>
      <w:tr>
        <w:tc>
          <w:tcPr>
            <w:tcW w:type="dxa" w:w="2232"/>
            <w:tcMar>
              <w:top w:w="110" w:type="dxa"/>
              <w:start w:w="120" w:type="dxa"/>
              <w:bottom w:w="110" w:type="dxa"/>
              <w:end w:w="120" w:type="dxa"/>
            </w:tcMar>
          </w:tcPr>
          <w:p>
            <w:pPr>
              <w:jc w:val="left"/>
            </w:pPr>
            <w:r>
              <w:rPr>
                <w:rFonts w:ascii="Aptos" w:hAnsi="Aptos"/>
                <w:sz w:val="19"/>
              </w:rPr>
              <w:t>Project Zero</w:t>
            </w:r>
          </w:p>
        </w:tc>
        <w:tc>
          <w:tcPr>
            <w:tcW w:type="dxa" w:w="6840"/>
            <w:tcMar>
              <w:top w:w="110" w:type="dxa"/>
              <w:start w:w="120" w:type="dxa"/>
              <w:bottom w:w="110" w:type="dxa"/>
              <w:end w:w="120" w:type="dxa"/>
            </w:tcMar>
          </w:tcPr>
          <w:p>
            <w:pPr>
              <w:jc w:val="left"/>
            </w:pPr>
            <w:r>
              <w:rPr>
                <w:rFonts w:ascii="Aptos" w:hAnsi="Aptos"/>
                <w:sz w:val="19"/>
              </w:rPr>
              <w:t>The foundation programme defining Irish Pub World standards before production-scale expansion.</w:t>
            </w:r>
          </w:p>
        </w:tc>
      </w:tr>
    </w:tbl>
    <w:p>
      <w:pPr>
        <w:spacing w:after="40"/>
      </w:pPr>
    </w:p>
    <w:p>
      <w:pPr>
        <w:pStyle w:val="Heading1"/>
      </w:pPr>
      <w:r>
        <w:t>Appendix B — Immediate Next Publications</w:t>
      </w:r>
    </w:p>
    <w:p>
      <w:pPr>
        <w:pStyle w:val="ListNumber"/>
        <w:spacing w:after="80"/>
      </w:pPr>
      <w:r>
        <w:rPr>
          <w:rFonts w:ascii="Aptos" w:hAnsi="Aptos"/>
          <w:sz w:val="21"/>
        </w:rPr>
        <w:t>IPW-ECS-001 — Enterprise Content Standard</w:t>
      </w:r>
    </w:p>
    <w:p>
      <w:pPr>
        <w:pStyle w:val="ListNumber"/>
        <w:spacing w:after="80"/>
      </w:pPr>
      <w:r>
        <w:rPr>
          <w:rFonts w:ascii="Aptos" w:hAnsi="Aptos"/>
          <w:sz w:val="21"/>
        </w:rPr>
        <w:t>IPW-DS-001 — Enterprise Design System</w:t>
      </w:r>
    </w:p>
    <w:p>
      <w:pPr>
        <w:pStyle w:val="ListNumber"/>
        <w:spacing w:after="80"/>
      </w:pPr>
      <w:r>
        <w:rPr>
          <w:rFonts w:ascii="Aptos" w:hAnsi="Aptos"/>
          <w:sz w:val="21"/>
        </w:rPr>
        <w:t>IPW-DM-001 — Enterprise Data Model</w:t>
      </w:r>
    </w:p>
    <w:p>
      <w:pPr>
        <w:pStyle w:val="ListNumber"/>
        <w:spacing w:after="80"/>
      </w:pPr>
      <w:r>
        <w:rPr>
          <w:rFonts w:ascii="Aptos" w:hAnsi="Aptos"/>
          <w:sz w:val="21"/>
        </w:rPr>
        <w:t>IPW-KG-001 — Knowledge Graph Specification</w:t>
      </w:r>
    </w:p>
    <w:p>
      <w:pPr>
        <w:pStyle w:val="ListNumber"/>
        <w:spacing w:after="80"/>
      </w:pPr>
      <w:r>
        <w:rPr>
          <w:rFonts w:ascii="Aptos" w:hAnsi="Aptos"/>
          <w:sz w:val="21"/>
        </w:rPr>
        <w:t>IPW-AI-001 — Ask Paddy Intelligence Framework</w:t>
      </w:r>
    </w:p>
    <w:sectPr w:rsidR="00FC693F" w:rsidRPr="0006063C" w:rsidSect="00034616">
      <w:headerReference w:type="default" r:id="rId9"/>
      <w:footerReference w:type="default" r:id="rId10"/>
      <w:pgSz w:w="12240" w:h="15840"/>
      <w:pgMar w:top="1008" w:right="1224" w:bottom="936"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3216"/>
      <w:gridCol w:w="3216"/>
      <w:gridCol w:w="3216"/>
    </w:tblGrid>
    <w:tr>
      <w:tc>
        <w:tcPr>
          <w:tcW w:type="dxa" w:w="3456"/>
        </w:tcPr>
        <w:p>
          <w:r>
            <w:rPr>
              <w:rFonts w:ascii="Aptos" w:hAnsi="Aptos"/>
              <w:b w:val="0"/>
              <w:color w:val="5C6660"/>
              <w:sz w:val="16"/>
            </w:rPr>
            <w:t>IPW-000001  •  Version 1.0</w:t>
          </w:r>
        </w:p>
      </w:tc>
      <w:tc>
        <w:tcPr>
          <w:tcW w:type="dxa" w:w="2880"/>
        </w:tcPr>
        <w:p>
          <w:pPr>
            <w:jc w:val="center"/>
          </w:pPr>
          <w:r>
            <w:rPr>
              <w:rFonts w:ascii="Aptos" w:hAnsi="Aptos"/>
              <w:b/>
              <w:color w:val="1F6B4F"/>
              <w:sz w:val="16"/>
            </w:rPr>
            <w:t>CONFIDENTIAL</w:t>
          </w:r>
        </w:p>
      </w:tc>
      <w:tc>
        <w:tcPr>
          <w:tcW w:type="dxa" w:w="3311"/>
        </w:tcPr>
        <w:p>
          <w:pPr>
            <w:jc w:val="right"/>
          </w:pPr>
          <w:r>
            <w:rPr>
              <w:rFonts w:ascii="Aptos" w:hAnsi="Aptos"/>
              <w:b w:val="0"/>
              <w:color w:val="5C6660"/>
              <w:sz w:val="16"/>
            </w:rPr>
            <w:t xml:space="preserve">Page </w:t>
          </w:r>
          <w: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F6B4F"/>
        <w:sz w:val="17"/>
      </w:rPr>
      <w:t>IRISH PUB WORLD ENTERPRISE  |  PROJECT ZERO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1F6B4F"/>
      <w:sz w:val="38"/>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2C5746"/>
      <w:sz w:val="28"/>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w:hAnsi="Aptos"/>
      <w:b/>
      <w:bCs/>
      <w:color w:val="5B706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ptos Display" w:hAnsi="Aptos Display"/>
      <w:b/>
      <w:color w:val="15372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Pub World Enterprise Constitution</dc:title>
  <dc:subject>Project Zero Foundation Publication</dc:subject>
  <dc:creator>Irish Pub World Enterprise</dc:creator>
  <cp:keywords>Irish Pub World, Enterprise, Constitution, Project Zero, Hospitality</cp:keywords>
  <dc:description>generated by python-docx</dc:description>
  <cp:lastModifiedBy/>
  <cp:revision>1</cp:revision>
  <dcterms:created xsi:type="dcterms:W3CDTF">2013-12-23T23:15:00Z</dcterms:created>
  <dcterms:modified xsi:type="dcterms:W3CDTF">2013-12-23T23:15:00Z</dcterms:modified>
  <cp:category/>
</cp:coreProperties>
</file>